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EF58" w14:textId="77777777" w:rsidR="00B53812" w:rsidRDefault="00B53812" w:rsidP="00B53812">
      <w:pPr>
        <w:shd w:val="clear" w:color="auto" w:fill="C5E0B3" w:themeFill="accent6" w:themeFillTint="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MANAGER’S CHECKLIST</w:t>
      </w:r>
    </w:p>
    <w:p w14:paraId="037BD398" w14:textId="77777777" w:rsidR="00B53812" w:rsidRPr="001D1F9E" w:rsidRDefault="00B53812" w:rsidP="00B53812">
      <w:pPr>
        <w:shd w:val="clear" w:color="auto" w:fill="70AD47" w:themeFill="accent6"/>
        <w:jc w:val="center"/>
        <w:rPr>
          <w:b/>
          <w:bCs/>
          <w:sz w:val="24"/>
          <w:szCs w:val="24"/>
        </w:rPr>
      </w:pPr>
      <w:bookmarkStart w:id="0" w:name="Section1"/>
      <w:bookmarkStart w:id="1" w:name="_Hlk69975154"/>
      <w:bookmarkEnd w:id="0"/>
      <w:r>
        <w:rPr>
          <w:b/>
          <w:bCs/>
          <w:sz w:val="24"/>
          <w:szCs w:val="24"/>
        </w:rPr>
        <w:t xml:space="preserve">SECTION 1: </w:t>
      </w:r>
      <w:r w:rsidRPr="001D1F9E">
        <w:rPr>
          <w:b/>
          <w:bCs/>
          <w:sz w:val="24"/>
          <w:szCs w:val="24"/>
        </w:rPr>
        <w:t xml:space="preserve">Working </w:t>
      </w:r>
      <w:r>
        <w:rPr>
          <w:b/>
          <w:bCs/>
          <w:sz w:val="24"/>
          <w:szCs w:val="24"/>
        </w:rPr>
        <w:t>Remotely</w:t>
      </w:r>
      <w:r w:rsidRPr="001D1F9E">
        <w:rPr>
          <w:b/>
          <w:bCs/>
          <w:sz w:val="24"/>
          <w:szCs w:val="24"/>
        </w:rPr>
        <w:t xml:space="preserve"> – Data Protection Checklist for Managers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6"/>
        <w:gridCol w:w="1351"/>
        <w:gridCol w:w="3029"/>
      </w:tblGrid>
      <w:tr w:rsidR="00B53812" w14:paraId="08636250" w14:textId="77777777" w:rsidTr="00797099">
        <w:tc>
          <w:tcPr>
            <w:tcW w:w="2571" w:type="pct"/>
            <w:shd w:val="clear" w:color="auto" w:fill="C5E0B3" w:themeFill="accent6" w:themeFillTint="66"/>
          </w:tcPr>
          <w:bookmarkEnd w:id="1"/>
          <w:p w14:paraId="407132C7" w14:textId="77777777" w:rsidR="00B53812" w:rsidRDefault="00B53812" w:rsidP="00797099">
            <w:pPr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</w:p>
        </w:tc>
        <w:tc>
          <w:tcPr>
            <w:tcW w:w="749" w:type="pct"/>
            <w:shd w:val="clear" w:color="auto" w:fill="C5E0B3" w:themeFill="accent6" w:themeFillTint="66"/>
          </w:tcPr>
          <w:p w14:paraId="51B5DDD9" w14:textId="77777777" w:rsidR="00B53812" w:rsidRDefault="00B53812" w:rsidP="00797099">
            <w:pPr>
              <w:rPr>
                <w:b/>
                <w:bCs/>
              </w:rPr>
            </w:pPr>
            <w:r>
              <w:rPr>
                <w:b/>
                <w:bCs/>
              </w:rPr>
              <w:t>Met/Not Met/N/A</w:t>
            </w:r>
          </w:p>
        </w:tc>
        <w:tc>
          <w:tcPr>
            <w:tcW w:w="1680" w:type="pct"/>
            <w:shd w:val="clear" w:color="auto" w:fill="C5E0B3" w:themeFill="accent6" w:themeFillTint="66"/>
          </w:tcPr>
          <w:p w14:paraId="490CBAB4" w14:textId="77777777" w:rsidR="00B53812" w:rsidRDefault="00B53812" w:rsidP="00797099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B53812" w14:paraId="4193E17A" w14:textId="77777777" w:rsidTr="00797099">
        <w:tc>
          <w:tcPr>
            <w:tcW w:w="2571" w:type="pct"/>
          </w:tcPr>
          <w:p w14:paraId="67BF3F26" w14:textId="77777777" w:rsidR="00B53812" w:rsidRPr="00C92351" w:rsidRDefault="00B53812" w:rsidP="00797099">
            <w:r>
              <w:t>Alert</w:t>
            </w:r>
            <w:r w:rsidRPr="00C92351">
              <w:t xml:space="preserve"> staff </w:t>
            </w:r>
            <w:r>
              <w:t>that they should not download confidential/sensitive information onto Personal Devices.</w:t>
            </w:r>
          </w:p>
        </w:tc>
        <w:tc>
          <w:tcPr>
            <w:tcW w:w="749" w:type="pct"/>
          </w:tcPr>
          <w:p w14:paraId="2EE67577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5A3515D8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3253346A" w14:textId="77777777" w:rsidTr="00797099">
        <w:tc>
          <w:tcPr>
            <w:tcW w:w="2571" w:type="pct"/>
          </w:tcPr>
          <w:p w14:paraId="613DCF46" w14:textId="77777777" w:rsidR="00B53812" w:rsidRDefault="00B53812" w:rsidP="00797099">
            <w:r>
              <w:t>Ensure staff are aware of their responsibilities around storing and shredding of printed documents</w:t>
            </w:r>
          </w:p>
        </w:tc>
        <w:tc>
          <w:tcPr>
            <w:tcW w:w="749" w:type="pct"/>
          </w:tcPr>
          <w:p w14:paraId="1B4594FC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5771583E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6865EF25" w14:textId="77777777" w:rsidTr="00797099">
        <w:tc>
          <w:tcPr>
            <w:tcW w:w="2571" w:type="pct"/>
          </w:tcPr>
          <w:p w14:paraId="3D0EA3F2" w14:textId="77777777" w:rsidR="00B53812" w:rsidRDefault="00B53812" w:rsidP="00797099">
            <w:pPr>
              <w:rPr>
                <w:b/>
                <w:bCs/>
              </w:rPr>
            </w:pPr>
            <w:r>
              <w:t>Enable</w:t>
            </w:r>
            <w:r w:rsidRPr="00F2398E">
              <w:t xml:space="preserve"> staff</w:t>
            </w:r>
            <w:r>
              <w:t xml:space="preserve"> to</w:t>
            </w:r>
            <w:r w:rsidRPr="00F2398E">
              <w:t xml:space="preserve"> secure</w:t>
            </w:r>
            <w:r>
              <w:t>ly</w:t>
            </w:r>
            <w:r w:rsidRPr="00F2398E">
              <w:t xml:space="preserve"> keep </w:t>
            </w:r>
            <w:r>
              <w:t xml:space="preserve">any temporary work in progress </w:t>
            </w:r>
            <w:r w:rsidRPr="00F2398E">
              <w:t>‘hard copy’ records at home</w:t>
            </w:r>
            <w:r>
              <w:t xml:space="preserve"> and to appropriately shred them when no longer required. </w:t>
            </w:r>
          </w:p>
        </w:tc>
        <w:tc>
          <w:tcPr>
            <w:tcW w:w="749" w:type="pct"/>
          </w:tcPr>
          <w:p w14:paraId="75B441CB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1F4D0282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66B00F62" w14:textId="77777777" w:rsidTr="00797099">
        <w:tc>
          <w:tcPr>
            <w:tcW w:w="2571" w:type="pct"/>
          </w:tcPr>
          <w:p w14:paraId="299447F1" w14:textId="77777777" w:rsidR="00B53812" w:rsidRDefault="00B53812" w:rsidP="00797099">
            <w:r>
              <w:t>Advise staff of the requirement not to store personal data on their devices. Information should be stored in the Service’s Recording System in line with Recording and Safeguarding policies.</w:t>
            </w:r>
          </w:p>
        </w:tc>
        <w:tc>
          <w:tcPr>
            <w:tcW w:w="749" w:type="pct"/>
          </w:tcPr>
          <w:p w14:paraId="3898B8CD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55F6588D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7443303D" w14:textId="77777777" w:rsidTr="00797099">
        <w:tc>
          <w:tcPr>
            <w:tcW w:w="2571" w:type="pct"/>
          </w:tcPr>
          <w:p w14:paraId="0B4B0D9A" w14:textId="77777777" w:rsidR="00B53812" w:rsidRPr="00E30DF6" w:rsidRDefault="00B53812" w:rsidP="00797099">
            <w:r>
              <w:t>Advise staff tha</w:t>
            </w:r>
            <w:r w:rsidRPr="00E30DF6">
              <w:t xml:space="preserve">t where </w:t>
            </w:r>
            <w:r>
              <w:t xml:space="preserve">they </w:t>
            </w:r>
            <w:r w:rsidRPr="00E30DF6">
              <w:t xml:space="preserve">are using personal phones, appropriate safeguards </w:t>
            </w:r>
            <w:r>
              <w:t>should be</w:t>
            </w:r>
            <w:r w:rsidRPr="00E30DF6">
              <w:t xml:space="preserve"> in place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do not use non-Barnardo’s email addresses, Screen calls …)</w:t>
            </w:r>
            <w:r w:rsidRPr="00E30DF6">
              <w:t>.</w:t>
            </w:r>
          </w:p>
        </w:tc>
        <w:tc>
          <w:tcPr>
            <w:tcW w:w="749" w:type="pct"/>
          </w:tcPr>
          <w:p w14:paraId="59558F1B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425FE78F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61837137" w14:textId="77777777" w:rsidTr="00797099">
        <w:tc>
          <w:tcPr>
            <w:tcW w:w="2571" w:type="pct"/>
          </w:tcPr>
          <w:p w14:paraId="509E8573" w14:textId="77777777" w:rsidR="00B53812" w:rsidRPr="00E30DF6" w:rsidRDefault="00B53812" w:rsidP="00797099">
            <w:r>
              <w:t xml:space="preserve">Remind staff of the requirements to keep personal and sensitive information secure. In practice, be mindful when making calls around non-Barnardo’s employees, unattended screens should be locked, and hard copy documents should not be left out. </w:t>
            </w:r>
          </w:p>
        </w:tc>
        <w:tc>
          <w:tcPr>
            <w:tcW w:w="749" w:type="pct"/>
          </w:tcPr>
          <w:p w14:paraId="6C727F31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7F8662A6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31999F5B" w14:textId="77777777" w:rsidTr="00797099">
        <w:tc>
          <w:tcPr>
            <w:tcW w:w="2571" w:type="pct"/>
          </w:tcPr>
          <w:p w14:paraId="0A9B2F03" w14:textId="77777777" w:rsidR="00B53812" w:rsidRPr="00E30DF6" w:rsidRDefault="00B53812" w:rsidP="00797099">
            <w:r>
              <w:t>Advise staff to use ‘Teams’ for remote video meetings and where not possible/appropriate, advise staff on security measures for alternative Applications.</w:t>
            </w:r>
          </w:p>
        </w:tc>
        <w:tc>
          <w:tcPr>
            <w:tcW w:w="749" w:type="pct"/>
          </w:tcPr>
          <w:p w14:paraId="7E674C5E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5BE9C0E3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0AFE956B" w14:textId="77777777" w:rsidTr="00797099">
        <w:tc>
          <w:tcPr>
            <w:tcW w:w="2571" w:type="pct"/>
          </w:tcPr>
          <w:p w14:paraId="6D832632" w14:textId="77777777" w:rsidR="00B53812" w:rsidRPr="00E30DF6" w:rsidRDefault="00B53812" w:rsidP="00797099">
            <w:r>
              <w:t>Advise staff that all video and photo material need to be appropriately consented and recorded.</w:t>
            </w:r>
          </w:p>
        </w:tc>
        <w:tc>
          <w:tcPr>
            <w:tcW w:w="749" w:type="pct"/>
          </w:tcPr>
          <w:p w14:paraId="5B5D3895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2250A60A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55D1F7A1" w14:textId="77777777" w:rsidTr="00797099">
        <w:tc>
          <w:tcPr>
            <w:tcW w:w="2571" w:type="pct"/>
          </w:tcPr>
          <w:p w14:paraId="63B6DDCB" w14:textId="77777777" w:rsidR="00B53812" w:rsidRPr="00E30DF6" w:rsidRDefault="00B53812" w:rsidP="00797099">
            <w:r>
              <w:t>Alert staff to remote ‘Consent to receive service’ &amp; YDYR processes, so that DP does not become a barrier.</w:t>
            </w:r>
          </w:p>
        </w:tc>
        <w:tc>
          <w:tcPr>
            <w:tcW w:w="749" w:type="pct"/>
          </w:tcPr>
          <w:p w14:paraId="7967B03A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19E08819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2CC0917D" w14:textId="77777777" w:rsidTr="00797099">
        <w:tc>
          <w:tcPr>
            <w:tcW w:w="2571" w:type="pct"/>
          </w:tcPr>
          <w:p w14:paraId="7315BF71" w14:textId="77777777" w:rsidR="00B53812" w:rsidRPr="00E30DF6" w:rsidRDefault="00B53812" w:rsidP="00797099">
            <w:r>
              <w:t>Ensure that physical post to the office is either re-directed or collected regularly. Be particularly aware of Subject Access Requests (SARs) &amp; court requests.</w:t>
            </w:r>
          </w:p>
        </w:tc>
        <w:tc>
          <w:tcPr>
            <w:tcW w:w="749" w:type="pct"/>
          </w:tcPr>
          <w:p w14:paraId="245E37BB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4D8CC724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795D2C8F" w14:textId="77777777" w:rsidTr="00797099">
        <w:tc>
          <w:tcPr>
            <w:tcW w:w="2571" w:type="pct"/>
          </w:tcPr>
          <w:p w14:paraId="729A20FA" w14:textId="77777777" w:rsidR="00B53812" w:rsidRDefault="00B53812" w:rsidP="00797099">
            <w:r>
              <w:t>Inform staff of their requirements in sending emails securely and appropriate use of BCC.</w:t>
            </w:r>
          </w:p>
        </w:tc>
        <w:tc>
          <w:tcPr>
            <w:tcW w:w="749" w:type="pct"/>
          </w:tcPr>
          <w:p w14:paraId="1DF01C58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1F7C29D2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0AEC6281" w14:textId="77777777" w:rsidTr="00797099">
        <w:tc>
          <w:tcPr>
            <w:tcW w:w="2571" w:type="pct"/>
          </w:tcPr>
          <w:p w14:paraId="068370E6" w14:textId="77777777" w:rsidR="00B53812" w:rsidRPr="00E30DF6" w:rsidRDefault="00B53812" w:rsidP="00797099">
            <w:r>
              <w:t>Ensure staff are up to date with Data Protection Training.</w:t>
            </w:r>
          </w:p>
        </w:tc>
        <w:tc>
          <w:tcPr>
            <w:tcW w:w="749" w:type="pct"/>
          </w:tcPr>
          <w:p w14:paraId="7B8EE046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333ECA87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219176D7" w14:textId="77777777" w:rsidTr="00797099">
        <w:tc>
          <w:tcPr>
            <w:tcW w:w="2571" w:type="pct"/>
          </w:tcPr>
          <w:p w14:paraId="298BB0F4" w14:textId="77777777" w:rsidR="00B53812" w:rsidRDefault="00B53812" w:rsidP="00797099">
            <w:r>
              <w:t>Alert staff to the Breach process and remind them of their responsibilities.</w:t>
            </w:r>
          </w:p>
        </w:tc>
        <w:tc>
          <w:tcPr>
            <w:tcW w:w="749" w:type="pct"/>
          </w:tcPr>
          <w:p w14:paraId="6F103C0E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5CDCE6DC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20EE0F8D" w14:textId="77777777" w:rsidTr="00797099">
        <w:tc>
          <w:tcPr>
            <w:tcW w:w="2571" w:type="pct"/>
          </w:tcPr>
          <w:p w14:paraId="6488E5AD" w14:textId="77777777" w:rsidR="00B53812" w:rsidRDefault="00B53812" w:rsidP="00797099">
            <w:r w:rsidRPr="0059221A">
              <w:lastRenderedPageBreak/>
              <w:t xml:space="preserve">Undertake regular housekeeping to ensure information </w:t>
            </w:r>
            <w:r>
              <w:t>continues to be</w:t>
            </w:r>
            <w:r w:rsidRPr="0059221A">
              <w:t xml:space="preserve"> deleted, archived, or destroyed in line with Barnardo’s retention policy.</w:t>
            </w:r>
          </w:p>
        </w:tc>
        <w:tc>
          <w:tcPr>
            <w:tcW w:w="749" w:type="pct"/>
          </w:tcPr>
          <w:p w14:paraId="72E01A4D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1A5DF0DD" w14:textId="77777777" w:rsidR="00B53812" w:rsidRDefault="00B53812" w:rsidP="00797099">
            <w:pPr>
              <w:rPr>
                <w:b/>
                <w:bCs/>
              </w:rPr>
            </w:pPr>
          </w:p>
        </w:tc>
      </w:tr>
      <w:tr w:rsidR="00B53812" w14:paraId="6AD3FFCA" w14:textId="77777777" w:rsidTr="00797099">
        <w:tc>
          <w:tcPr>
            <w:tcW w:w="2571" w:type="pct"/>
          </w:tcPr>
          <w:p w14:paraId="67D74FB7" w14:textId="77777777" w:rsidR="00B53812" w:rsidRDefault="00B53812" w:rsidP="00797099">
            <w:r>
              <w:t xml:space="preserve">Advise staff to consider whether they </w:t>
            </w:r>
            <w:proofErr w:type="gramStart"/>
            <w:r>
              <w:t>actually need</w:t>
            </w:r>
            <w:proofErr w:type="gramEnd"/>
            <w:r>
              <w:t xml:space="preserve"> to use personal data to complete a task. If they do, use the minimum amount possible.</w:t>
            </w:r>
          </w:p>
        </w:tc>
        <w:tc>
          <w:tcPr>
            <w:tcW w:w="749" w:type="pct"/>
          </w:tcPr>
          <w:p w14:paraId="4A1A01DC" w14:textId="77777777" w:rsidR="00B53812" w:rsidRDefault="00B53812" w:rsidP="00797099">
            <w:pPr>
              <w:rPr>
                <w:b/>
                <w:bCs/>
              </w:rPr>
            </w:pPr>
          </w:p>
        </w:tc>
        <w:tc>
          <w:tcPr>
            <w:tcW w:w="1680" w:type="pct"/>
          </w:tcPr>
          <w:p w14:paraId="62C641B7" w14:textId="77777777" w:rsidR="00B53812" w:rsidRDefault="00B53812" w:rsidP="00797099">
            <w:pPr>
              <w:rPr>
                <w:b/>
                <w:bCs/>
              </w:rPr>
            </w:pPr>
          </w:p>
        </w:tc>
      </w:tr>
    </w:tbl>
    <w:p w14:paraId="16B9799C" w14:textId="77777777" w:rsidR="00307643" w:rsidRDefault="00307643"/>
    <w:sectPr w:rsidR="00307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12"/>
    <w:rsid w:val="00307643"/>
    <w:rsid w:val="00B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C35C"/>
  <w15:chartTrackingRefBased/>
  <w15:docId w15:val="{FCC4066C-6157-4F62-A9BB-5B056783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Patterson</dc:creator>
  <cp:keywords/>
  <dc:description/>
  <cp:lastModifiedBy>Sian Patterson</cp:lastModifiedBy>
  <cp:revision>1</cp:revision>
  <dcterms:created xsi:type="dcterms:W3CDTF">2022-02-11T08:45:00Z</dcterms:created>
  <dcterms:modified xsi:type="dcterms:W3CDTF">2022-02-11T08:47:00Z</dcterms:modified>
</cp:coreProperties>
</file>