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79BD" w14:textId="77777777" w:rsidR="00C03C90" w:rsidRDefault="00C03C90" w:rsidP="00C03C90">
      <w:pPr>
        <w:tabs>
          <w:tab w:val="left" w:pos="1116"/>
        </w:tabs>
        <w:jc w:val="center"/>
        <w:rPr>
          <w:b/>
          <w:color w:val="2F3249"/>
          <w:sz w:val="24"/>
        </w:rPr>
      </w:pPr>
      <w:r>
        <w:rPr>
          <w:b/>
          <w:color w:val="2F3249"/>
          <w:sz w:val="24"/>
        </w:rPr>
        <w:t>Home Office online right to work checking service</w:t>
      </w:r>
    </w:p>
    <w:tbl>
      <w:tblPr>
        <w:tblStyle w:val="TableGrid"/>
        <w:tblW w:w="10490" w:type="dxa"/>
        <w:tblInd w:w="0" w:type="dxa"/>
        <w:tblCellMar>
          <w:top w:w="11" w:type="dxa"/>
          <w:left w:w="113" w:type="dxa"/>
          <w:right w:w="115" w:type="dxa"/>
        </w:tblCellMar>
        <w:tblLook w:val="04A0" w:firstRow="1" w:lastRow="0" w:firstColumn="1" w:lastColumn="0" w:noHBand="0" w:noVBand="1"/>
      </w:tblPr>
      <w:tblGrid>
        <w:gridCol w:w="3686"/>
        <w:gridCol w:w="6804"/>
      </w:tblGrid>
      <w:tr w:rsidR="00C03C90" w14:paraId="79E9E629" w14:textId="77777777" w:rsidTr="00DF05B9">
        <w:trPr>
          <w:trHeight w:val="408"/>
        </w:trPr>
        <w:tc>
          <w:tcPr>
            <w:tcW w:w="3686" w:type="dxa"/>
            <w:tcBorders>
              <w:top w:val="nil"/>
              <w:left w:val="nil"/>
              <w:bottom w:val="nil"/>
              <w:right w:val="nil"/>
            </w:tcBorders>
            <w:shd w:val="clear" w:color="auto" w:fill="C7E0F1"/>
          </w:tcPr>
          <w:p w14:paraId="2907F30C" w14:textId="77777777" w:rsidR="00C03C90" w:rsidRDefault="00C03C90" w:rsidP="00DF05B9">
            <w:r>
              <w:rPr>
                <w:b/>
                <w:color w:val="2F3249"/>
                <w:sz w:val="24"/>
              </w:rPr>
              <w:t>Name of person:</w:t>
            </w:r>
          </w:p>
        </w:tc>
        <w:tc>
          <w:tcPr>
            <w:tcW w:w="6804" w:type="dxa"/>
            <w:tcBorders>
              <w:top w:val="nil"/>
              <w:left w:val="nil"/>
              <w:bottom w:val="nil"/>
              <w:right w:val="nil"/>
            </w:tcBorders>
            <w:shd w:val="clear" w:color="auto" w:fill="ECF1F9"/>
          </w:tcPr>
          <w:p w14:paraId="3103CD5B" w14:textId="77777777" w:rsidR="00C03C90" w:rsidRDefault="00C03C90" w:rsidP="00DF05B9"/>
        </w:tc>
      </w:tr>
      <w:tr w:rsidR="00C03C90" w14:paraId="3FD2EE83" w14:textId="77777777" w:rsidTr="00DF05B9">
        <w:trPr>
          <w:trHeight w:val="408"/>
        </w:trPr>
        <w:tc>
          <w:tcPr>
            <w:tcW w:w="3686" w:type="dxa"/>
            <w:tcBorders>
              <w:top w:val="nil"/>
              <w:left w:val="nil"/>
              <w:bottom w:val="nil"/>
              <w:right w:val="nil"/>
            </w:tcBorders>
            <w:shd w:val="clear" w:color="auto" w:fill="C7E0F1"/>
            <w:vAlign w:val="bottom"/>
          </w:tcPr>
          <w:p w14:paraId="1D2FA563" w14:textId="77777777" w:rsidR="00C03C90" w:rsidRDefault="00C03C90" w:rsidP="00DF05B9">
            <w:r>
              <w:rPr>
                <w:b/>
                <w:color w:val="2F3249"/>
                <w:sz w:val="24"/>
              </w:rPr>
              <w:t>Date of check undertaken:</w:t>
            </w:r>
          </w:p>
        </w:tc>
        <w:tc>
          <w:tcPr>
            <w:tcW w:w="6804" w:type="dxa"/>
            <w:tcBorders>
              <w:top w:val="nil"/>
              <w:left w:val="nil"/>
              <w:bottom w:val="nil"/>
              <w:right w:val="nil"/>
            </w:tcBorders>
            <w:shd w:val="clear" w:color="auto" w:fill="ECF1F9"/>
          </w:tcPr>
          <w:p w14:paraId="47E88F6C" w14:textId="77777777" w:rsidR="00C03C90" w:rsidRDefault="00C03C90" w:rsidP="00DF05B9"/>
        </w:tc>
      </w:tr>
      <w:tr w:rsidR="00C03C90" w14:paraId="4327796C" w14:textId="77777777" w:rsidTr="00DF05B9">
        <w:tblPrEx>
          <w:tblCellMar>
            <w:right w:w="54" w:type="dxa"/>
          </w:tblCellMar>
        </w:tblPrEx>
        <w:trPr>
          <w:trHeight w:val="787"/>
        </w:trPr>
        <w:tc>
          <w:tcPr>
            <w:tcW w:w="3686" w:type="dxa"/>
            <w:tcBorders>
              <w:top w:val="nil"/>
              <w:left w:val="nil"/>
              <w:bottom w:val="nil"/>
              <w:right w:val="nil"/>
            </w:tcBorders>
            <w:shd w:val="clear" w:color="auto" w:fill="C7E0F1"/>
            <w:vAlign w:val="center"/>
          </w:tcPr>
          <w:p w14:paraId="1A14EDFC" w14:textId="77777777" w:rsidR="00C03C90" w:rsidRDefault="00C03C90" w:rsidP="00DF05B9">
            <w:r>
              <w:rPr>
                <w:b/>
                <w:color w:val="2F3249"/>
                <w:sz w:val="24"/>
              </w:rPr>
              <w:t>Type of check:</w:t>
            </w:r>
            <w:r>
              <w:rPr>
                <w:b/>
                <w:color w:val="2F3249"/>
                <w:sz w:val="24"/>
              </w:rPr>
              <w:br/>
              <w:t>(insert x in the relevant box)</w:t>
            </w:r>
          </w:p>
        </w:tc>
        <w:tc>
          <w:tcPr>
            <w:tcW w:w="6804" w:type="dxa"/>
            <w:tcBorders>
              <w:top w:val="nil"/>
              <w:left w:val="nil"/>
              <w:bottom w:val="nil"/>
              <w:right w:val="nil"/>
            </w:tcBorders>
            <w:shd w:val="clear" w:color="auto" w:fill="ECF1F9"/>
          </w:tcPr>
          <w:p w14:paraId="2FFAA095" w14:textId="77777777" w:rsidR="00C03C90" w:rsidRDefault="00C03C90" w:rsidP="00DF05B9">
            <w:pPr>
              <w:ind w:left="247"/>
              <w:rPr>
                <w:color w:val="181717"/>
                <w:sz w:val="24"/>
              </w:rPr>
            </w:pPr>
            <w:sdt>
              <w:sdtPr>
                <w:rPr>
                  <w:color w:val="181717"/>
                  <w:sz w:val="24"/>
                </w:rPr>
                <w:id w:val="309369810"/>
                <w14:checkbox>
                  <w14:checked w14:val="0"/>
                  <w14:checkedState w14:val="2612" w14:font="MS Gothic"/>
                  <w14:uncheckedState w14:val="2610" w14:font="MS Gothic"/>
                </w14:checkbox>
              </w:sdtPr>
              <w:sdtContent>
                <w:r>
                  <w:rPr>
                    <w:rFonts w:ascii="MS Gothic" w:eastAsia="MS Gothic" w:hAnsi="MS Gothic" w:hint="eastAsia"/>
                    <w:color w:val="181717"/>
                    <w:sz w:val="24"/>
                  </w:rPr>
                  <w:t>☐</w:t>
                </w:r>
              </w:sdtContent>
            </w:sdt>
            <w:r>
              <w:rPr>
                <w:color w:val="181717"/>
                <w:sz w:val="24"/>
              </w:rPr>
              <w:t xml:space="preserve">Initial check before employment </w:t>
            </w:r>
          </w:p>
          <w:p w14:paraId="3CEF4B45" w14:textId="77777777" w:rsidR="00C03C90" w:rsidRDefault="00C03C90" w:rsidP="00DF05B9">
            <w:pPr>
              <w:ind w:left="247"/>
            </w:pPr>
            <w:sdt>
              <w:sdtPr>
                <w:rPr>
                  <w:color w:val="181717"/>
                  <w:sz w:val="24"/>
                </w:rPr>
                <w:id w:val="901634246"/>
                <w14:checkbox>
                  <w14:checked w14:val="0"/>
                  <w14:checkedState w14:val="2612" w14:font="MS Gothic"/>
                  <w14:uncheckedState w14:val="2610" w14:font="MS Gothic"/>
                </w14:checkbox>
              </w:sdtPr>
              <w:sdtContent>
                <w:r>
                  <w:rPr>
                    <w:rFonts w:ascii="MS Gothic" w:eastAsia="MS Gothic" w:hAnsi="MS Gothic" w:hint="eastAsia"/>
                    <w:color w:val="181717"/>
                    <w:sz w:val="24"/>
                  </w:rPr>
                  <w:t>☐</w:t>
                </w:r>
              </w:sdtContent>
            </w:sdt>
            <w:r>
              <w:rPr>
                <w:color w:val="181717"/>
                <w:sz w:val="24"/>
              </w:rPr>
              <w:t xml:space="preserve">Follow up check </w:t>
            </w:r>
          </w:p>
        </w:tc>
      </w:tr>
    </w:tbl>
    <w:p w14:paraId="5C69F887" w14:textId="77777777" w:rsidR="00C03C90" w:rsidRDefault="00C03C90" w:rsidP="00C03C90">
      <w:pPr>
        <w:tabs>
          <w:tab w:val="left" w:pos="1116"/>
        </w:tabs>
        <w:jc w:val="center"/>
      </w:pPr>
    </w:p>
    <w:tbl>
      <w:tblPr>
        <w:tblStyle w:val="TableGrid"/>
        <w:tblpPr w:leftFromText="180" w:rightFromText="180" w:vertAnchor="text" w:horzAnchor="margin" w:tblpX="-142" w:tblpY="71"/>
        <w:tblW w:w="10687" w:type="dxa"/>
        <w:tblInd w:w="0" w:type="dxa"/>
        <w:tblCellMar>
          <w:top w:w="103" w:type="dxa"/>
          <w:left w:w="283" w:type="dxa"/>
          <w:right w:w="115" w:type="dxa"/>
        </w:tblCellMar>
        <w:tblLook w:val="04A0" w:firstRow="1" w:lastRow="0" w:firstColumn="1" w:lastColumn="0" w:noHBand="0" w:noVBand="1"/>
      </w:tblPr>
      <w:tblGrid>
        <w:gridCol w:w="10687"/>
      </w:tblGrid>
      <w:tr w:rsidR="00C03C90" w14:paraId="35688652" w14:textId="77777777" w:rsidTr="002564CC">
        <w:trPr>
          <w:trHeight w:val="1315"/>
        </w:trPr>
        <w:tc>
          <w:tcPr>
            <w:tcW w:w="10687" w:type="dxa"/>
            <w:tcBorders>
              <w:top w:val="nil"/>
              <w:left w:val="nil"/>
              <w:bottom w:val="nil"/>
              <w:right w:val="nil"/>
            </w:tcBorders>
            <w:shd w:val="clear" w:color="auto" w:fill="ECF1F9"/>
          </w:tcPr>
          <w:p w14:paraId="68703A24" w14:textId="53382942" w:rsidR="00C03C90" w:rsidRDefault="00C03C90" w:rsidP="00DF05B9">
            <w:pPr>
              <w:spacing w:after="113" w:line="236" w:lineRule="auto"/>
              <w:ind w:right="803"/>
            </w:pPr>
            <w:r>
              <w:rPr>
                <w:color w:val="2F3249"/>
                <w:sz w:val="24"/>
              </w:rPr>
              <w:t>It is not possible to conduct a Home Office online right to work check in all circumstances, as not all individuals will have an immigration status that can be checked online. The Home Office online right to work checking service sets out what information you will need to complete an online check</w:t>
            </w:r>
            <w:r w:rsidR="007E3E40">
              <w:rPr>
                <w:color w:val="2F3249"/>
                <w:sz w:val="24"/>
              </w:rPr>
              <w:t xml:space="preserve"> and will confirm whether an individual has the right to work and if so, the nature of any restrictions on that </w:t>
            </w:r>
            <w:r w:rsidR="00841B9A">
              <w:rPr>
                <w:color w:val="2F3249"/>
                <w:sz w:val="24"/>
              </w:rPr>
              <w:t>individual’s</w:t>
            </w:r>
            <w:r w:rsidR="007E3E40">
              <w:rPr>
                <w:color w:val="2F3249"/>
                <w:sz w:val="24"/>
              </w:rPr>
              <w:t xml:space="preserve"> right to </w:t>
            </w:r>
            <w:r w:rsidR="00E56672">
              <w:rPr>
                <w:color w:val="2F3249"/>
                <w:sz w:val="24"/>
              </w:rPr>
              <w:t xml:space="preserve">do so. </w:t>
            </w:r>
            <w:r>
              <w:rPr>
                <w:color w:val="2F3249"/>
                <w:sz w:val="24"/>
              </w:rPr>
              <w:t xml:space="preserve">In circumstances in which an online check is not possible, a manual check </w:t>
            </w:r>
            <w:r w:rsidRPr="00CF1018">
              <w:rPr>
                <w:color w:val="2F3249"/>
                <w:sz w:val="24"/>
                <w:u w:val="single"/>
              </w:rPr>
              <w:t>must</w:t>
            </w:r>
            <w:r>
              <w:rPr>
                <w:color w:val="2F3249"/>
                <w:sz w:val="24"/>
              </w:rPr>
              <w:t xml:space="preserve"> be carried out.</w:t>
            </w:r>
            <w:r w:rsidR="00CF1018">
              <w:rPr>
                <w:color w:val="2F3249"/>
                <w:sz w:val="24"/>
              </w:rPr>
              <w:t xml:space="preserve"> For more information on conducting an online check see </w:t>
            </w:r>
            <w:hyperlink r:id="rId7" w:history="1">
              <w:r w:rsidR="00CF1018" w:rsidRPr="00CF1018">
                <w:rPr>
                  <w:rStyle w:val="Hyperlink"/>
                  <w:color w:val="0070C0"/>
                </w:rPr>
                <w:t>An employer's guide to right to work checks: 6 April 2022 (accessible version) - GOV.UK (www.gov.uk)</w:t>
              </w:r>
            </w:hyperlink>
            <w:r w:rsidRPr="00CF1018">
              <w:rPr>
                <w:color w:val="2F3249"/>
                <w:sz w:val="24"/>
              </w:rPr>
              <w:br/>
            </w:r>
            <w:r>
              <w:rPr>
                <w:color w:val="2F3249"/>
                <w:sz w:val="24"/>
              </w:rPr>
              <w:br/>
              <w:t>Currently, the online checking service supports checks in respect of those who hold:</w:t>
            </w:r>
          </w:p>
          <w:p w14:paraId="347374E2" w14:textId="77777777" w:rsidR="00C03C90" w:rsidRDefault="00C03C90" w:rsidP="00C03C90">
            <w:pPr>
              <w:numPr>
                <w:ilvl w:val="0"/>
                <w:numId w:val="1"/>
              </w:numPr>
              <w:spacing w:after="85"/>
              <w:ind w:hanging="360"/>
            </w:pPr>
            <w:r>
              <w:rPr>
                <w:color w:val="2F3249"/>
                <w:sz w:val="24"/>
              </w:rPr>
              <w:t>a biometric residence permit; or</w:t>
            </w:r>
          </w:p>
          <w:p w14:paraId="4C57DAF7" w14:textId="77777777" w:rsidR="00C03C90" w:rsidRDefault="00C03C90" w:rsidP="00C03C90">
            <w:pPr>
              <w:numPr>
                <w:ilvl w:val="0"/>
                <w:numId w:val="1"/>
              </w:numPr>
              <w:spacing w:after="85"/>
              <w:ind w:hanging="360"/>
            </w:pPr>
            <w:r>
              <w:rPr>
                <w:color w:val="2F3249"/>
                <w:sz w:val="24"/>
              </w:rPr>
              <w:t>a biometric residence card; or</w:t>
            </w:r>
          </w:p>
          <w:p w14:paraId="61781FE7" w14:textId="77777777" w:rsidR="00C03C90" w:rsidRDefault="00C03C90" w:rsidP="00C03C90">
            <w:pPr>
              <w:numPr>
                <w:ilvl w:val="0"/>
                <w:numId w:val="1"/>
              </w:numPr>
              <w:spacing w:after="85"/>
              <w:ind w:hanging="360"/>
            </w:pPr>
            <w:r>
              <w:rPr>
                <w:color w:val="2F3249"/>
                <w:sz w:val="24"/>
              </w:rPr>
              <w:t>status issued under the EU Settlement Scheme; or</w:t>
            </w:r>
          </w:p>
          <w:p w14:paraId="586CC984" w14:textId="77777777" w:rsidR="00C03C90" w:rsidRDefault="00C03C90" w:rsidP="00C03C90">
            <w:pPr>
              <w:numPr>
                <w:ilvl w:val="0"/>
                <w:numId w:val="1"/>
              </w:numPr>
              <w:spacing w:after="85"/>
              <w:ind w:hanging="360"/>
            </w:pPr>
            <w:r>
              <w:rPr>
                <w:color w:val="2F3249"/>
                <w:sz w:val="24"/>
              </w:rPr>
              <w:t>status issued under the points-based immigration system; or</w:t>
            </w:r>
          </w:p>
          <w:p w14:paraId="607BBCAB" w14:textId="77777777" w:rsidR="00C03C90" w:rsidRDefault="00C03C90" w:rsidP="00C03C90">
            <w:pPr>
              <w:numPr>
                <w:ilvl w:val="0"/>
                <w:numId w:val="1"/>
              </w:numPr>
              <w:spacing w:after="85"/>
              <w:ind w:hanging="360"/>
            </w:pPr>
            <w:r>
              <w:rPr>
                <w:color w:val="2F3249"/>
                <w:sz w:val="24"/>
              </w:rPr>
              <w:t>British National Overseas (BNO) visa; or</w:t>
            </w:r>
          </w:p>
          <w:p w14:paraId="0601E5A9" w14:textId="77777777" w:rsidR="00C03C90" w:rsidRPr="00EA7581" w:rsidRDefault="00C03C90" w:rsidP="00C03C90">
            <w:pPr>
              <w:numPr>
                <w:ilvl w:val="0"/>
                <w:numId w:val="1"/>
              </w:numPr>
              <w:spacing w:after="255"/>
              <w:ind w:hanging="360"/>
            </w:pPr>
            <w:r>
              <w:rPr>
                <w:color w:val="2F3249"/>
                <w:sz w:val="24"/>
              </w:rPr>
              <w:t>Frontier Worker permit</w:t>
            </w:r>
          </w:p>
          <w:p w14:paraId="11D42956" w14:textId="77777777" w:rsidR="00C03C90" w:rsidRPr="00CF1018" w:rsidRDefault="00C03C90" w:rsidP="00DF05B9">
            <w:pPr>
              <w:spacing w:after="255"/>
              <w:rPr>
                <w:color w:val="FF0000"/>
              </w:rPr>
            </w:pPr>
            <w:r w:rsidRPr="00CF1018">
              <w:rPr>
                <w:b/>
                <w:bCs/>
                <w:color w:val="FF0000"/>
              </w:rPr>
              <w:t>Note</w:t>
            </w:r>
            <w:r w:rsidRPr="00CF1018">
              <w:rPr>
                <w:color w:val="FF0000"/>
              </w:rPr>
              <w:t xml:space="preserve">: From </w:t>
            </w:r>
            <w:r w:rsidRPr="00CF1018">
              <w:rPr>
                <w:b/>
                <w:bCs/>
                <w:color w:val="FF0000"/>
              </w:rPr>
              <w:t>6 April 2022</w:t>
            </w:r>
            <w:r w:rsidRPr="00CF1018">
              <w:rPr>
                <w:color w:val="FF0000"/>
              </w:rPr>
              <w:t xml:space="preserve">, Biometric Residence Card, Biometric Residence Permit and Frontier Worker Permit holders are only able to evidence their right to work using the Home Office online service. A manual check of documents can no longer be accepted. </w:t>
            </w:r>
          </w:p>
          <w:p w14:paraId="134290C7" w14:textId="77777777" w:rsidR="00C03C90" w:rsidRDefault="00C03C90" w:rsidP="00DF05B9">
            <w:pPr>
              <w:spacing w:after="85"/>
            </w:pPr>
            <w:r>
              <w:rPr>
                <w:color w:val="2F3249"/>
                <w:sz w:val="24"/>
              </w:rPr>
              <w:t xml:space="preserve">There are three basic steps to conducting an online right to work check: </w:t>
            </w:r>
          </w:p>
          <w:p w14:paraId="7BB8CF2C" w14:textId="791AE970" w:rsidR="00C03C90" w:rsidRDefault="00C03C90" w:rsidP="00C03C90">
            <w:pPr>
              <w:numPr>
                <w:ilvl w:val="1"/>
                <w:numId w:val="1"/>
              </w:numPr>
              <w:spacing w:after="113" w:line="236" w:lineRule="auto"/>
              <w:ind w:hanging="360"/>
            </w:pPr>
            <w:r>
              <w:rPr>
                <w:color w:val="2F3249"/>
                <w:sz w:val="24"/>
              </w:rPr>
              <w:t>use the Home Office online right to work checking service (</w:t>
            </w:r>
            <w:r>
              <w:t xml:space="preserve"> </w:t>
            </w:r>
            <w:hyperlink r:id="rId8" w:history="1">
              <w:r w:rsidRPr="00891307">
                <w:rPr>
                  <w:rStyle w:val="Hyperlink"/>
                  <w:sz w:val="24"/>
                </w:rPr>
                <w:t>https://www.gov.uk/view-rig</w:t>
              </w:r>
              <w:r w:rsidRPr="00891307">
                <w:rPr>
                  <w:rStyle w:val="Hyperlink"/>
                  <w:sz w:val="24"/>
                </w:rPr>
                <w:t>h</w:t>
              </w:r>
              <w:r w:rsidRPr="00891307">
                <w:rPr>
                  <w:rStyle w:val="Hyperlink"/>
                  <w:sz w:val="24"/>
                </w:rPr>
                <w:t>t-to-work</w:t>
              </w:r>
            </w:hyperlink>
            <w:r>
              <w:rPr>
                <w:color w:val="2F3249"/>
                <w:sz w:val="24"/>
              </w:rPr>
              <w:t>)</w:t>
            </w:r>
            <w:r>
              <w:rPr>
                <w:sz w:val="24"/>
              </w:rPr>
              <w:t xml:space="preserve"> by entering the applicant’s </w:t>
            </w:r>
            <w:r w:rsidR="00E56672">
              <w:rPr>
                <w:sz w:val="24"/>
              </w:rPr>
              <w:t xml:space="preserve">9-character long </w:t>
            </w:r>
            <w:r>
              <w:rPr>
                <w:sz w:val="24"/>
              </w:rPr>
              <w:t xml:space="preserve">share code </w:t>
            </w:r>
            <w:r w:rsidR="00E56672">
              <w:rPr>
                <w:sz w:val="24"/>
              </w:rPr>
              <w:t xml:space="preserve">(alongside the applicant’s date of birth) </w:t>
            </w:r>
            <w:r>
              <w:rPr>
                <w:sz w:val="24"/>
              </w:rPr>
              <w:t>to vi</w:t>
            </w:r>
            <w:r w:rsidRPr="000342AB">
              <w:rPr>
                <w:color w:val="2F3249"/>
                <w:sz w:val="24"/>
              </w:rPr>
              <w:t>ew a</w:t>
            </w:r>
            <w:r w:rsidR="00DD1D0A">
              <w:rPr>
                <w:color w:val="2F3249"/>
                <w:sz w:val="24"/>
              </w:rPr>
              <w:t xml:space="preserve"> job applicant’s </w:t>
            </w:r>
            <w:r w:rsidRPr="000342AB">
              <w:rPr>
                <w:color w:val="2F3249"/>
                <w:sz w:val="24"/>
              </w:rPr>
              <w:t>right to work details and only employ the person, or continue to employ an existing employee, if the online check confirms they are entitled to do the work in question</w:t>
            </w:r>
            <w:r w:rsidR="00DD1D0A">
              <w:rPr>
                <w:color w:val="2F3249"/>
                <w:sz w:val="24"/>
              </w:rPr>
              <w:t>. (The share code is valid for 90 days from the point it has been used and can be used as many times as needed within that time</w:t>
            </w:r>
            <w:r w:rsidR="00CF1018">
              <w:rPr>
                <w:color w:val="2F3249"/>
                <w:sz w:val="24"/>
              </w:rPr>
              <w:t>)</w:t>
            </w:r>
            <w:r w:rsidR="00DD1D0A">
              <w:rPr>
                <w:color w:val="2F3249"/>
                <w:sz w:val="24"/>
              </w:rPr>
              <w:t xml:space="preserve">. </w:t>
            </w:r>
          </w:p>
          <w:p w14:paraId="7BF0C39E" w14:textId="77777777" w:rsidR="00C03C90" w:rsidRDefault="00C03C90" w:rsidP="00C03C90">
            <w:pPr>
              <w:numPr>
                <w:ilvl w:val="1"/>
                <w:numId w:val="1"/>
              </w:numPr>
              <w:spacing w:after="113" w:line="236" w:lineRule="auto"/>
              <w:ind w:hanging="360"/>
            </w:pPr>
            <w:r>
              <w:rPr>
                <w:color w:val="2F3249"/>
                <w:sz w:val="24"/>
              </w:rPr>
              <w:t>satisfy yourself that any photograph on the online right to work check is of the individual presenting themselves for work; and</w:t>
            </w:r>
          </w:p>
          <w:p w14:paraId="5E8D6F52" w14:textId="77777777" w:rsidR="00C03C90" w:rsidRPr="00B22497" w:rsidRDefault="00C03C90" w:rsidP="00C03C90">
            <w:pPr>
              <w:numPr>
                <w:ilvl w:val="1"/>
                <w:numId w:val="1"/>
              </w:numPr>
              <w:ind w:hanging="360"/>
            </w:pPr>
            <w:r>
              <w:rPr>
                <w:color w:val="2F3249"/>
                <w:sz w:val="24"/>
              </w:rPr>
              <w:t>retain a clear copy of the response provided by the online right to work check, this should be the ‘profile’ page confirming the individual’s right work that includes the individual’s photo and date on which the check was conducted, storing that response securely, (electronically or in hardcopy) for the duration of employment and for two years afterwards.</w:t>
            </w:r>
          </w:p>
          <w:p w14:paraId="28A2C2B6" w14:textId="77777777" w:rsidR="00C03C90" w:rsidRDefault="00C03C90" w:rsidP="00DF05B9">
            <w:pPr>
              <w:ind w:left="624"/>
              <w:rPr>
                <w:color w:val="2F3249"/>
                <w:sz w:val="24"/>
              </w:rPr>
            </w:pPr>
          </w:p>
          <w:p w14:paraId="435DD2BB" w14:textId="77777777" w:rsidR="00C03C90" w:rsidRDefault="00C03C90" w:rsidP="00DF05B9">
            <w:pPr>
              <w:ind w:left="624"/>
              <w:rPr>
                <w:color w:val="2F3249"/>
                <w:sz w:val="24"/>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4A0" w:firstRow="1" w:lastRow="0" w:firstColumn="1" w:lastColumn="0" w:noHBand="0" w:noVBand="1"/>
            </w:tblPr>
            <w:tblGrid>
              <w:gridCol w:w="4090"/>
              <w:gridCol w:w="6096"/>
            </w:tblGrid>
            <w:tr w:rsidR="00C03C90" w:rsidRPr="007F3F42" w14:paraId="16C112F7" w14:textId="77777777" w:rsidTr="00841B9A">
              <w:trPr>
                <w:trHeight w:val="839"/>
              </w:trPr>
              <w:tc>
                <w:tcPr>
                  <w:tcW w:w="4090" w:type="dxa"/>
                  <w:tcBorders>
                    <w:top w:val="single" w:sz="4" w:space="0" w:color="auto"/>
                    <w:left w:val="single" w:sz="4" w:space="0" w:color="auto"/>
                    <w:bottom w:val="single" w:sz="4" w:space="0" w:color="auto"/>
                    <w:right w:val="single" w:sz="4" w:space="0" w:color="auto"/>
                  </w:tcBorders>
                  <w:shd w:val="clear" w:color="auto" w:fill="CC99FF"/>
                </w:tcPr>
                <w:p w14:paraId="016A2CC6" w14:textId="77777777" w:rsidR="00C03C90" w:rsidRPr="007F3F42" w:rsidRDefault="00C03C90" w:rsidP="00DF05B9">
                  <w:pPr>
                    <w:framePr w:hSpace="180" w:wrap="around" w:vAnchor="text" w:hAnchor="margin" w:x="-142" w:y="71"/>
                    <w:widowControl w:val="0"/>
                    <w:autoSpaceDE w:val="0"/>
                    <w:autoSpaceDN w:val="0"/>
                    <w:adjustRightInd w:val="0"/>
                    <w:spacing w:after="0" w:line="276" w:lineRule="exact"/>
                    <w:ind w:left="102" w:right="160"/>
                    <w:rPr>
                      <w:rFonts w:ascii="Arial" w:hAnsi="Arial" w:cs="Arial"/>
                      <w:sz w:val="24"/>
                      <w:szCs w:val="24"/>
                    </w:rPr>
                  </w:pPr>
                  <w:r>
                    <w:rPr>
                      <w:rFonts w:ascii="Arial" w:hAnsi="Arial" w:cs="Arial"/>
                      <w:b/>
                      <w:bCs/>
                      <w:sz w:val="24"/>
                      <w:szCs w:val="24"/>
                    </w:rPr>
                    <w:t>If applicable, d</w:t>
                  </w:r>
                  <w:r w:rsidRPr="002635C7">
                    <w:rPr>
                      <w:rFonts w:ascii="Arial" w:hAnsi="Arial" w:cs="Arial"/>
                      <w:b/>
                      <w:bCs/>
                      <w:sz w:val="24"/>
                      <w:szCs w:val="24"/>
                    </w:rPr>
                    <w:t>ate foll</w:t>
                  </w:r>
                  <w:r w:rsidRPr="002635C7">
                    <w:rPr>
                      <w:rFonts w:ascii="Arial" w:hAnsi="Arial" w:cs="Arial"/>
                      <w:b/>
                      <w:bCs/>
                      <w:spacing w:val="-1"/>
                      <w:sz w:val="24"/>
                      <w:szCs w:val="24"/>
                    </w:rPr>
                    <w:t>o</w:t>
                  </w:r>
                  <w:r w:rsidRPr="002635C7">
                    <w:rPr>
                      <w:rFonts w:ascii="Arial" w:hAnsi="Arial" w:cs="Arial"/>
                      <w:b/>
                      <w:bCs/>
                      <w:spacing w:val="2"/>
                      <w:sz w:val="24"/>
                      <w:szCs w:val="24"/>
                    </w:rPr>
                    <w:t>w</w:t>
                  </w:r>
                  <w:r w:rsidRPr="002635C7">
                    <w:rPr>
                      <w:rFonts w:ascii="Arial" w:hAnsi="Arial" w:cs="Arial"/>
                      <w:b/>
                      <w:bCs/>
                      <w:spacing w:val="-1"/>
                      <w:sz w:val="24"/>
                      <w:szCs w:val="24"/>
                    </w:rPr>
                    <w:t>-</w:t>
                  </w:r>
                  <w:r w:rsidRPr="002635C7">
                    <w:rPr>
                      <w:rFonts w:ascii="Arial" w:hAnsi="Arial" w:cs="Arial"/>
                      <w:b/>
                      <w:bCs/>
                      <w:sz w:val="24"/>
                      <w:szCs w:val="24"/>
                    </w:rPr>
                    <w:t>up check required:</w:t>
                  </w:r>
                </w:p>
              </w:tc>
              <w:tc>
                <w:tcPr>
                  <w:tcW w:w="6096" w:type="dxa"/>
                  <w:tcBorders>
                    <w:top w:val="single" w:sz="4" w:space="0" w:color="auto"/>
                    <w:left w:val="single" w:sz="4" w:space="0" w:color="auto"/>
                    <w:bottom w:val="single" w:sz="4" w:space="0" w:color="auto"/>
                    <w:right w:val="single" w:sz="4" w:space="0" w:color="auto"/>
                  </w:tcBorders>
                  <w:shd w:val="clear" w:color="auto" w:fill="F4E9F7"/>
                  <w:vAlign w:val="center"/>
                </w:tcPr>
                <w:p w14:paraId="61445D6D" w14:textId="77777777" w:rsidR="00C03C90" w:rsidRPr="007F3F42" w:rsidRDefault="00C03C90" w:rsidP="00DF05B9">
                  <w:pPr>
                    <w:framePr w:hSpace="180" w:wrap="around" w:vAnchor="text" w:hAnchor="margin" w:x="-142" w:y="71"/>
                    <w:widowControl w:val="0"/>
                    <w:autoSpaceDE w:val="0"/>
                    <w:autoSpaceDN w:val="0"/>
                    <w:adjustRightInd w:val="0"/>
                    <w:spacing w:after="0" w:line="276" w:lineRule="exact"/>
                    <w:ind w:left="102" w:right="160"/>
                    <w:rPr>
                      <w:rFonts w:ascii="Arial" w:hAnsi="Arial" w:cs="Arial"/>
                      <w:sz w:val="24"/>
                      <w:szCs w:val="24"/>
                    </w:rPr>
                  </w:pPr>
                  <w:r>
                    <w:rPr>
                      <w:rFonts w:ascii="Arial" w:hAnsi="Arial" w:cs="Arial"/>
                      <w:noProof/>
                      <w:sz w:val="24"/>
                      <w:szCs w:val="24"/>
                    </w:rPr>
                    <w:pict w14:anchorId="2665156F">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129.1pt;margin-top:.4pt;width:153.75pt;height:16.5pt;z-index:251659264;mso-wrap-edited:f;mso-position-horizontal-relative:text;mso-position-vertical-relative:text" o:preferrelative="t" wrapcoords="-135 0 -135 20903 21600 20903 21600 0 -135 0" filled="f" stroked="f">
                        <v:imagedata r:id="rId9" o:title=""/>
                        <o:lock v:ext="edit" aspectratio="t"/>
                        <w10:wrap type="tight"/>
                      </v:shape>
                      <w:control r:id="rId10" w:name="TextBox211" w:shapeid="_x0000_s1026"/>
                    </w:pict>
                  </w:r>
                </w:p>
              </w:tc>
            </w:tr>
          </w:tbl>
          <w:p w14:paraId="0801500C" w14:textId="77777777" w:rsidR="00C03C90" w:rsidRDefault="00C03C90" w:rsidP="00DF05B9">
            <w:pPr>
              <w:ind w:left="624"/>
            </w:pPr>
          </w:p>
        </w:tc>
      </w:tr>
    </w:tbl>
    <w:p w14:paraId="472223CE" w14:textId="77777777" w:rsidR="00841B9A" w:rsidRPr="00841B9A" w:rsidRDefault="00841B9A" w:rsidP="00841B9A"/>
    <w:p w14:paraId="05F5C6D8" w14:textId="31E55CB4" w:rsidR="00841B9A" w:rsidRPr="00841B9A" w:rsidRDefault="00841B9A" w:rsidP="00841B9A">
      <w:pPr>
        <w:sectPr w:rsidR="00841B9A" w:rsidRPr="00841B9A">
          <w:headerReference w:type="even" r:id="rId11"/>
          <w:headerReference w:type="default" r:id="rId12"/>
          <w:headerReference w:type="first" r:id="rId13"/>
          <w:pgSz w:w="11906" w:h="16838"/>
          <w:pgMar w:top="672" w:right="680" w:bottom="680" w:left="794" w:header="720" w:footer="720" w:gutter="0"/>
          <w:cols w:space="720"/>
          <w:titlePg/>
        </w:sectPr>
      </w:pPr>
    </w:p>
    <w:p w14:paraId="36F69FB2" w14:textId="3D22A430" w:rsidR="00BD72C5" w:rsidRDefault="00BD72C5" w:rsidP="00841B9A">
      <w:pPr>
        <w:tabs>
          <w:tab w:val="left" w:pos="2355"/>
        </w:tabs>
      </w:pPr>
    </w:p>
    <w:sectPr w:rsidR="00BD72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A76B" w14:textId="77777777" w:rsidR="00DD1D0A" w:rsidRDefault="00DD1D0A" w:rsidP="00DD1D0A">
      <w:pPr>
        <w:spacing w:after="0" w:line="240" w:lineRule="auto"/>
      </w:pPr>
      <w:r>
        <w:separator/>
      </w:r>
    </w:p>
  </w:endnote>
  <w:endnote w:type="continuationSeparator" w:id="0">
    <w:p w14:paraId="6B8F20D6" w14:textId="77777777" w:rsidR="00DD1D0A" w:rsidRDefault="00DD1D0A" w:rsidP="00DD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812D" w14:textId="77777777" w:rsidR="00DD1D0A" w:rsidRDefault="00DD1D0A" w:rsidP="00DD1D0A">
      <w:pPr>
        <w:spacing w:after="0" w:line="240" w:lineRule="auto"/>
      </w:pPr>
      <w:r>
        <w:separator/>
      </w:r>
    </w:p>
  </w:footnote>
  <w:footnote w:type="continuationSeparator" w:id="0">
    <w:p w14:paraId="083A3560" w14:textId="77777777" w:rsidR="00DD1D0A" w:rsidRDefault="00DD1D0A" w:rsidP="00DD1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F1C9" w14:textId="77777777" w:rsidR="00D96608" w:rsidRDefault="00CF1018">
    <w:r>
      <w:rPr>
        <w:noProof/>
      </w:rPr>
      <mc:AlternateContent>
        <mc:Choice Requires="wpg">
          <w:drawing>
            <wp:anchor distT="0" distB="0" distL="114300" distR="114300" simplePos="0" relativeHeight="251659264" behindDoc="1" locked="0" layoutInCell="1" allowOverlap="1" wp14:anchorId="45878012" wp14:editId="7A48FB12">
              <wp:simplePos x="0" y="0"/>
              <wp:positionH relativeFrom="page">
                <wp:posOffset>0</wp:posOffset>
              </wp:positionH>
              <wp:positionV relativeFrom="page">
                <wp:posOffset>0</wp:posOffset>
              </wp:positionV>
              <wp:extent cx="7559993" cy="10692003"/>
              <wp:effectExtent l="0" t="0" r="0" b="0"/>
              <wp:wrapNone/>
              <wp:docPr id="6022" name="Group 6022"/>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7" name="Shape 6297"/>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w:pict>
            <v:group w14:anchorId="46001A29" id="Group 6022" o:spid="_x0000_s1026" style="position:absolute;margin-left:0;margin-top:0;width:595.3pt;height:841.9pt;z-index:-251657216;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C8eOR6cAIAAEUGAAAOAAAAAAAAAAAA&#10;AAAAAC4CAABkcnMvZTJvRG9jLnhtbFBLAQItABQABgAIAAAAIQBTrTJL3gAAAAcBAAAPAAAAAAAA&#10;AAAAAAAAAMoEAABkcnMvZG93bnJldi54bWxQSwUGAAAAAAQABADzAAAA1QUAAAAA&#10;">
              <v:shape id="Shape 6297" o:spid="_x0000_s102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" path="m,l7559993,r,10692003l,10692003,,e" fillcolor="#fdf8f0" stroked="f" strokeweight="0">
                <v:stroke miterlimit="83231f" joinstyle="miter"/>
                <v:path arrowok="t" textboxrect="0,0,7559993,10692003"/>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5FE8B" w14:textId="77777777" w:rsidR="00D96608" w:rsidRDefault="00CF1018">
    <w:pPr>
      <w:spacing w:after="0"/>
      <w:ind w:left="-794"/>
    </w:pPr>
  </w:p>
  <w:p w14:paraId="47831501" w14:textId="77777777" w:rsidR="00D96608" w:rsidRDefault="00CF1018">
    <w:r>
      <w:rPr>
        <w:noProof/>
      </w:rPr>
      <mc:AlternateContent>
        <mc:Choice Requires="wpg">
          <w:drawing>
            <wp:anchor distT="0" distB="0" distL="114300" distR="114300" simplePos="0" relativeHeight="251660288" behindDoc="1" locked="0" layoutInCell="1" allowOverlap="1" wp14:anchorId="5CD4CBC9" wp14:editId="6A9ACDBC">
              <wp:simplePos x="0" y="0"/>
              <wp:positionH relativeFrom="page">
                <wp:posOffset>0</wp:posOffset>
              </wp:positionH>
              <wp:positionV relativeFrom="page">
                <wp:posOffset>0</wp:posOffset>
              </wp:positionV>
              <wp:extent cx="7559993" cy="10692003"/>
              <wp:effectExtent l="0" t="0" r="0" b="0"/>
              <wp:wrapNone/>
              <wp:docPr id="6019" name="Group 6019"/>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5" name="Shape 6295"/>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w:pict>
            <v:group w14:anchorId="0D2AD61F" id="Group 6019" o:spid="_x0000_s1026" style="position:absolute;margin-left:0;margin-top:0;width:595.3pt;height:841.9pt;z-index:-251656192;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CsjAfmcAIAAEUGAAAOAAAAAAAAAAAA&#10;AAAAAC4CAABkcnMvZTJvRG9jLnhtbFBLAQItABQABgAIAAAAIQBTrTJL3gAAAAcBAAAPAAAAAAAA&#10;AAAAAAAAAMoEAABkcnMvZG93bnJldi54bWxQSwUGAAAAAAQABADzAAAA1QUAAAAA&#10;">
              <v:shape id="Shape 6295" o:spid="_x0000_s102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" path="m,l7559993,r,10692003l,10692003,,e" fillcolor="#fdf8f0" stroked="f" strokeweight="0">
                <v:stroke miterlimit="83231f" joinstyle="miter"/>
                <v:path arrowok="t" textboxrect="0,0,7559993,10692003"/>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31A98" w14:textId="77777777" w:rsidR="00D96608" w:rsidRDefault="00CF1018">
    <w:r>
      <w:rPr>
        <w:noProof/>
      </w:rPr>
      <mc:AlternateContent>
        <mc:Choice Requires="wpg">
          <w:drawing>
            <wp:anchor distT="0" distB="0" distL="114300" distR="114300" simplePos="0" relativeHeight="251661312" behindDoc="1" locked="0" layoutInCell="1" allowOverlap="1" wp14:anchorId="4FD39ED4" wp14:editId="04811CB0">
              <wp:simplePos x="0" y="0"/>
              <wp:positionH relativeFrom="page">
                <wp:posOffset>0</wp:posOffset>
              </wp:positionH>
              <wp:positionV relativeFrom="page">
                <wp:posOffset>0</wp:posOffset>
              </wp:positionV>
              <wp:extent cx="7559993" cy="10692003"/>
              <wp:effectExtent l="0" t="0" r="0" b="0"/>
              <wp:wrapNone/>
              <wp:docPr id="6011" name="Group 6011"/>
              <wp:cNvGraphicFramePr/>
              <a:graphic xmlns:a="http://schemas.openxmlformats.org/drawingml/2006/main">
                <a:graphicData uri="http://schemas.microsoft.com/office/word/2010/wordprocessingGroup">
                  <wpg:wgp>
                    <wpg:cNvGrpSpPr/>
                    <wpg:grpSpPr>
                      <a:xfrm>
                        <a:off x="0" y="0"/>
                        <a:ext cx="7559993" cy="10692003"/>
                        <a:chOff x="0" y="0"/>
                        <a:chExt cx="7559993" cy="10692003"/>
                      </a:xfrm>
                    </wpg:grpSpPr>
                    <wps:wsp>
                      <wps:cNvPr id="6291" name="Shape 6291"/>
                      <wps:cNvSpPr/>
                      <wps:spPr>
                        <a:xfrm>
                          <a:off x="0" y="0"/>
                          <a:ext cx="7559993" cy="10692003"/>
                        </a:xfrm>
                        <a:custGeom>
                          <a:avLst/>
                          <a:gdLst/>
                          <a:ahLst/>
                          <a:cxnLst/>
                          <a:rect l="0" t="0" r="0" b="0"/>
                          <a:pathLst>
                            <a:path w="7559993" h="10692003">
                              <a:moveTo>
                                <a:pt x="0" y="0"/>
                              </a:moveTo>
                              <a:lnTo>
                                <a:pt x="7559993" y="0"/>
                              </a:lnTo>
                              <a:lnTo>
                                <a:pt x="7559993" y="10692003"/>
                              </a:lnTo>
                              <a:lnTo>
                                <a:pt x="0" y="10692003"/>
                              </a:lnTo>
                              <a:lnTo>
                                <a:pt x="0" y="0"/>
                              </a:lnTo>
                            </a:path>
                          </a:pathLst>
                        </a:custGeom>
                        <a:ln w="0" cap="flat">
                          <a:miter lim="127000"/>
                        </a:ln>
                      </wps:spPr>
                      <wps:style>
                        <a:lnRef idx="0">
                          <a:srgbClr val="000000">
                            <a:alpha val="0"/>
                          </a:srgbClr>
                        </a:lnRef>
                        <a:fillRef idx="1">
                          <a:srgbClr val="FDF8F0"/>
                        </a:fillRef>
                        <a:effectRef idx="0">
                          <a:scrgbClr r="0" g="0" b="0"/>
                        </a:effectRef>
                        <a:fontRef idx="none"/>
                      </wps:style>
                      <wps:bodyPr/>
                    </wps:wsp>
                  </wpg:wgp>
                </a:graphicData>
              </a:graphic>
            </wp:anchor>
          </w:drawing>
        </mc:Choice>
        <mc:Fallback>
          <w:pict>
            <v:group w14:anchorId="436A3D7A" id="Group 6011" o:spid="_x0000_s1026" style="position:absolute;margin-left:0;margin-top:0;width:595.3pt;height:841.9pt;z-index:-251655168;mso-position-horizontal-relative:page;mso-position-vertical-relative:page" coordsize="75599,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">
              <v:shape id="Shape 6291" o:spid="_x0000_s1027" style="position:absolute;width:75599;height:106920;visibility:visible;mso-wrap-style:square;v-text-anchor:top" coordsize="7559993,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" path="m,l7559993,r,10692003l,10692003,,e" fillcolor="#fdf8f0" stroked="f" strokeweight="0">
                <v:stroke miterlimit="83231f" joinstyle="miter"/>
                <v:path arrowok="t" textboxrect="0,0,7559993,10692003"/>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E37"/>
    <w:multiLevelType w:val="hybridMultilevel"/>
    <w:tmpl w:val="C4EC0C44"/>
    <w:lvl w:ilvl="0" w:tplc="0B1ED9D4">
      <w:start w:val="1"/>
      <w:numFmt w:val="bullet"/>
      <w:lvlText w:val="•"/>
      <w:lvlJc w:val="left"/>
      <w:pPr>
        <w:ind w:left="360"/>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1" w:tplc="2286DD86">
      <w:start w:val="1"/>
      <w:numFmt w:val="decimal"/>
      <w:lvlText w:val="%2."/>
      <w:lvlJc w:val="left"/>
      <w:pPr>
        <w:ind w:left="624"/>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2" w:tplc="002A9620">
      <w:start w:val="1"/>
      <w:numFmt w:val="lowerRoman"/>
      <w:lvlText w:val="%3"/>
      <w:lvlJc w:val="left"/>
      <w:pPr>
        <w:ind w:left="16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3" w:tplc="CF5EFBF6">
      <w:start w:val="1"/>
      <w:numFmt w:val="decimal"/>
      <w:lvlText w:val="%4"/>
      <w:lvlJc w:val="left"/>
      <w:pPr>
        <w:ind w:left="23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4" w:tplc="9DB6D1B4">
      <w:start w:val="1"/>
      <w:numFmt w:val="lowerLetter"/>
      <w:lvlText w:val="%5"/>
      <w:lvlJc w:val="left"/>
      <w:pPr>
        <w:ind w:left="306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5" w:tplc="724C5EE2">
      <w:start w:val="1"/>
      <w:numFmt w:val="lowerRoman"/>
      <w:lvlText w:val="%6"/>
      <w:lvlJc w:val="left"/>
      <w:pPr>
        <w:ind w:left="378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6" w:tplc="66B8235C">
      <w:start w:val="1"/>
      <w:numFmt w:val="decimal"/>
      <w:lvlText w:val="%7"/>
      <w:lvlJc w:val="left"/>
      <w:pPr>
        <w:ind w:left="450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7" w:tplc="E0860770">
      <w:start w:val="1"/>
      <w:numFmt w:val="lowerLetter"/>
      <w:lvlText w:val="%8"/>
      <w:lvlJc w:val="left"/>
      <w:pPr>
        <w:ind w:left="522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lvl w:ilvl="8" w:tplc="BFB06050">
      <w:start w:val="1"/>
      <w:numFmt w:val="lowerRoman"/>
      <w:lvlText w:val="%9"/>
      <w:lvlJc w:val="left"/>
      <w:pPr>
        <w:ind w:left="5947"/>
      </w:pPr>
      <w:rPr>
        <w:rFonts w:ascii="Calibri" w:eastAsia="Calibri" w:hAnsi="Calibri" w:cs="Calibri"/>
        <w:b w:val="0"/>
        <w:i w:val="0"/>
        <w:strike w:val="0"/>
        <w:dstrike w:val="0"/>
        <w:color w:val="2F3249"/>
        <w:sz w:val="24"/>
        <w:szCs w:val="24"/>
        <w:u w:val="none" w:color="000000"/>
        <w:bdr w:val="none" w:sz="0" w:space="0" w:color="auto"/>
        <w:shd w:val="clear" w:color="auto" w:fill="auto"/>
        <w:vertAlign w:val="baseline"/>
      </w:rPr>
    </w:lvl>
  </w:abstractNum>
  <w:num w:numId="1" w16cid:durableId="1748304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90"/>
    <w:rsid w:val="002564CC"/>
    <w:rsid w:val="007E3E40"/>
    <w:rsid w:val="00841B9A"/>
    <w:rsid w:val="00BD72C5"/>
    <w:rsid w:val="00C03C90"/>
    <w:rsid w:val="00CF1018"/>
    <w:rsid w:val="00DD1D0A"/>
    <w:rsid w:val="00E5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DBB1BE"/>
  <w15:chartTrackingRefBased/>
  <w15:docId w15:val="{CF2B07C6-1907-435F-95F3-59E7F0CE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9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03C90"/>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C03C90"/>
    <w:rPr>
      <w:color w:val="0000FF"/>
      <w:u w:val="single"/>
    </w:rPr>
  </w:style>
  <w:style w:type="paragraph" w:styleId="EndnoteText">
    <w:name w:val="endnote text"/>
    <w:basedOn w:val="Normal"/>
    <w:link w:val="EndnoteTextChar"/>
    <w:uiPriority w:val="99"/>
    <w:semiHidden/>
    <w:unhideWhenUsed/>
    <w:rsid w:val="00DD1D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1D0A"/>
    <w:rPr>
      <w:rFonts w:ascii="Calibri" w:eastAsia="Calibri" w:hAnsi="Calibri" w:cs="Calibri"/>
      <w:color w:val="000000"/>
      <w:sz w:val="20"/>
      <w:szCs w:val="20"/>
      <w:lang w:eastAsia="en-GB"/>
    </w:rPr>
  </w:style>
  <w:style w:type="character" w:styleId="EndnoteReference">
    <w:name w:val="endnote reference"/>
    <w:basedOn w:val="DefaultParagraphFont"/>
    <w:uiPriority w:val="99"/>
    <w:semiHidden/>
    <w:unhideWhenUsed/>
    <w:rsid w:val="00DD1D0A"/>
    <w:rPr>
      <w:vertAlign w:val="superscript"/>
    </w:rPr>
  </w:style>
  <w:style w:type="character" w:styleId="FollowedHyperlink">
    <w:name w:val="FollowedHyperlink"/>
    <w:basedOn w:val="DefaultParagraphFont"/>
    <w:uiPriority w:val="99"/>
    <w:semiHidden/>
    <w:unhideWhenUsed/>
    <w:rsid w:val="00841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view-right-to-wor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right-to-work-checks-employers-guide/an-employers-guide-to-right-to-work-checks-6-april-2022-accessible-version"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Nuttall</dc:creator>
  <cp:keywords/>
  <dc:description/>
  <cp:lastModifiedBy>Caroline Nuttall</cp:lastModifiedBy>
  <cp:revision>2</cp:revision>
  <dcterms:created xsi:type="dcterms:W3CDTF">2022-07-07T05:53:00Z</dcterms:created>
  <dcterms:modified xsi:type="dcterms:W3CDTF">2022-07-07T06:25:00Z</dcterms:modified>
</cp:coreProperties>
</file>