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4" w:type="dxa"/>
        <w:tblInd w:w="-998" w:type="dxa"/>
        <w:tblLook w:val="04A0" w:firstRow="1" w:lastRow="0" w:firstColumn="1" w:lastColumn="0" w:noHBand="0" w:noVBand="1"/>
      </w:tblPr>
      <w:tblGrid>
        <w:gridCol w:w="1277"/>
        <w:gridCol w:w="1495"/>
        <w:gridCol w:w="1868"/>
        <w:gridCol w:w="134"/>
        <w:gridCol w:w="3874"/>
        <w:gridCol w:w="1956"/>
      </w:tblGrid>
      <w:tr w:rsidR="00ED5A59" w14:paraId="73CC3223" w14:textId="77777777" w:rsidTr="00723CF2">
        <w:trPr>
          <w:trHeight w:val="1562"/>
        </w:trPr>
        <w:tc>
          <w:tcPr>
            <w:tcW w:w="4774" w:type="dxa"/>
            <w:gridSpan w:val="4"/>
            <w:vAlign w:val="center"/>
          </w:tcPr>
          <w:p w14:paraId="32891FB6" w14:textId="77777777" w:rsidR="00E05510" w:rsidRPr="007C2BEA" w:rsidRDefault="00E05510" w:rsidP="002E4524">
            <w:pPr>
              <w:rPr>
                <w:rFonts w:cs="Verdana"/>
              </w:rPr>
            </w:pPr>
            <w:bookmarkStart w:id="0" w:name="_Hlk106711148"/>
            <w:bookmarkStart w:id="1" w:name="_Hlk106711098"/>
            <w:r>
              <w:rPr>
                <w:rFonts w:cs="Verdana"/>
                <w:noProof/>
                <w:color w:val="0000FF"/>
              </w:rPr>
              <w:drawing>
                <wp:inline distT="0" distB="0" distL="0" distR="0" wp14:anchorId="623FCDF2" wp14:editId="44CCB2C7">
                  <wp:extent cx="1836420" cy="899160"/>
                  <wp:effectExtent l="0" t="0" r="0" b="0"/>
                  <wp:docPr id="1" name="Picture 1" descr="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2"/>
            <w:vAlign w:val="center"/>
          </w:tcPr>
          <w:p w14:paraId="1567F2C0" w14:textId="77777777" w:rsidR="00E05510" w:rsidRPr="00155350" w:rsidRDefault="00E05510" w:rsidP="00590E53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>Barnardo’s</w:t>
            </w:r>
          </w:p>
          <w:p w14:paraId="51924775" w14:textId="4AB313B7" w:rsidR="00E05510" w:rsidRPr="00155350" w:rsidRDefault="00E05510" w:rsidP="00590E53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>Policy</w:t>
            </w:r>
          </w:p>
        </w:tc>
      </w:tr>
      <w:tr w:rsidR="00155350" w14:paraId="3AEE53EF" w14:textId="77777777" w:rsidTr="00723CF2">
        <w:trPr>
          <w:trHeight w:val="962"/>
        </w:trPr>
        <w:tc>
          <w:tcPr>
            <w:tcW w:w="10604" w:type="dxa"/>
            <w:gridSpan w:val="6"/>
            <w:vAlign w:val="center"/>
          </w:tcPr>
          <w:p w14:paraId="6C0946CF" w14:textId="54438865" w:rsidR="00155350" w:rsidRPr="00155350" w:rsidRDefault="00736A9D" w:rsidP="001553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Probationary &amp; Transition Periods Procedure</w:t>
            </w:r>
          </w:p>
        </w:tc>
      </w:tr>
      <w:tr w:rsidR="00155350" w14:paraId="3DF5C957" w14:textId="77777777" w:rsidTr="00723CF2">
        <w:tc>
          <w:tcPr>
            <w:tcW w:w="2772" w:type="dxa"/>
            <w:gridSpan w:val="2"/>
          </w:tcPr>
          <w:p w14:paraId="6416BE7B" w14:textId="79D75430" w:rsidR="00155350" w:rsidRPr="00155350" w:rsidRDefault="00E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Owner</w:t>
            </w:r>
            <w:r w:rsidR="00155350"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4"/>
          </w:tcPr>
          <w:p w14:paraId="0FFEA729" w14:textId="540A5539" w:rsidR="00FB2AC3" w:rsidRDefault="00FB2AC3" w:rsidP="00650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People &amp; Culture</w:t>
            </w:r>
          </w:p>
          <w:p w14:paraId="57965989" w14:textId="638F0757" w:rsidR="00155350" w:rsidRPr="001117C8" w:rsidRDefault="00155350" w:rsidP="00650D3E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155350" w14:paraId="0DBDFF58" w14:textId="77777777" w:rsidTr="00723CF2">
        <w:tc>
          <w:tcPr>
            <w:tcW w:w="2772" w:type="dxa"/>
            <w:gridSpan w:val="2"/>
          </w:tcPr>
          <w:p w14:paraId="1939F004" w14:textId="6FA8AD4B" w:rsidR="00155350" w:rsidRPr="00155350" w:rsidRDefault="00E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Supported by</w:t>
            </w:r>
            <w:r w:rsidR="00155350"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4"/>
          </w:tcPr>
          <w:p w14:paraId="2DDA5CAE" w14:textId="146AE357" w:rsidR="00FB2AC3" w:rsidRPr="007D0D5D" w:rsidRDefault="0031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Relations &amp; </w:t>
            </w:r>
            <w:r w:rsidR="00FB2AC3" w:rsidRPr="007D0D5D">
              <w:rPr>
                <w:sz w:val="22"/>
                <w:szCs w:val="22"/>
              </w:rPr>
              <w:t>Policy Manager</w:t>
            </w:r>
          </w:p>
          <w:p w14:paraId="5EB98206" w14:textId="2DE7A097" w:rsidR="00155350" w:rsidRPr="001117C8" w:rsidRDefault="00155350">
            <w:pPr>
              <w:rPr>
                <w:i/>
                <w:iCs/>
                <w:sz w:val="22"/>
                <w:szCs w:val="22"/>
              </w:rPr>
            </w:pPr>
          </w:p>
        </w:tc>
      </w:tr>
      <w:bookmarkEnd w:id="0"/>
      <w:tr w:rsidR="00155350" w14:paraId="3E804418" w14:textId="77777777" w:rsidTr="00723CF2">
        <w:tc>
          <w:tcPr>
            <w:tcW w:w="2772" w:type="dxa"/>
            <w:gridSpan w:val="2"/>
          </w:tcPr>
          <w:p w14:paraId="4CF97A4E" w14:textId="77777777" w:rsidR="00155350" w:rsidRPr="00155350" w:rsidRDefault="00155350" w:rsidP="00EF38FB">
            <w:pPr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Dat</w:t>
            </w:r>
            <w:r w:rsidR="00EF38FB">
              <w:rPr>
                <w:b/>
                <w:sz w:val="22"/>
                <w:szCs w:val="22"/>
              </w:rPr>
              <w:t>e</w:t>
            </w:r>
            <w:r w:rsidRPr="00155350">
              <w:rPr>
                <w:b/>
                <w:sz w:val="22"/>
                <w:szCs w:val="22"/>
              </w:rPr>
              <w:t xml:space="preserve"> Approved:</w:t>
            </w:r>
          </w:p>
        </w:tc>
        <w:tc>
          <w:tcPr>
            <w:tcW w:w="7832" w:type="dxa"/>
            <w:gridSpan w:val="4"/>
          </w:tcPr>
          <w:p w14:paraId="19D5EA0A" w14:textId="2A37083A" w:rsidR="00155350" w:rsidRPr="00444A20" w:rsidRDefault="00CE2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A4EF3">
              <w:rPr>
                <w:sz w:val="22"/>
                <w:szCs w:val="22"/>
              </w:rPr>
              <w:t>July 2022</w:t>
            </w:r>
          </w:p>
        </w:tc>
      </w:tr>
      <w:tr w:rsidR="00155350" w14:paraId="61DECDB3" w14:textId="77777777" w:rsidTr="00723CF2">
        <w:tc>
          <w:tcPr>
            <w:tcW w:w="2772" w:type="dxa"/>
            <w:gridSpan w:val="2"/>
          </w:tcPr>
          <w:p w14:paraId="59C12AFA" w14:textId="77777777" w:rsidR="00155350" w:rsidRPr="00155350" w:rsidRDefault="00155350">
            <w:pPr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Date for Review:</w:t>
            </w:r>
          </w:p>
        </w:tc>
        <w:tc>
          <w:tcPr>
            <w:tcW w:w="7832" w:type="dxa"/>
            <w:gridSpan w:val="4"/>
          </w:tcPr>
          <w:p w14:paraId="629AA5FD" w14:textId="618832BB" w:rsidR="00155350" w:rsidRPr="00094B7B" w:rsidRDefault="00CE2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A4EF3">
              <w:rPr>
                <w:sz w:val="22"/>
                <w:szCs w:val="22"/>
              </w:rPr>
              <w:t>July 202</w:t>
            </w:r>
            <w:r w:rsidR="00FB02AC">
              <w:rPr>
                <w:sz w:val="22"/>
                <w:szCs w:val="22"/>
              </w:rPr>
              <w:t>3</w:t>
            </w:r>
          </w:p>
        </w:tc>
      </w:tr>
      <w:tr w:rsidR="00E05510" w14:paraId="39A557CD" w14:textId="77777777" w:rsidTr="00723CF2">
        <w:tc>
          <w:tcPr>
            <w:tcW w:w="2772" w:type="dxa"/>
            <w:gridSpan w:val="2"/>
          </w:tcPr>
          <w:p w14:paraId="71543BA4" w14:textId="2A6E42F6" w:rsidR="00E05510" w:rsidRPr="00155350" w:rsidRDefault="00E05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Distribution</w:t>
            </w:r>
          </w:p>
        </w:tc>
        <w:tc>
          <w:tcPr>
            <w:tcW w:w="7832" w:type="dxa"/>
            <w:gridSpan w:val="4"/>
          </w:tcPr>
          <w:p w14:paraId="4780F78B" w14:textId="677D58B4" w:rsidR="009A079F" w:rsidRPr="00F80868" w:rsidRDefault="00413916" w:rsidP="009A079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Not co</w:t>
            </w:r>
            <w:r w:rsidR="001C53FD">
              <w:rPr>
                <w:sz w:val="22"/>
                <w:szCs w:val="22"/>
              </w:rPr>
              <w:t xml:space="preserve">nfidential </w:t>
            </w:r>
            <w:r>
              <w:rPr>
                <w:sz w:val="22"/>
                <w:szCs w:val="22"/>
              </w:rPr>
              <w:t>- f</w:t>
            </w:r>
            <w:r w:rsidR="00F80868" w:rsidRPr="00F80868">
              <w:rPr>
                <w:sz w:val="22"/>
                <w:szCs w:val="22"/>
              </w:rPr>
              <w:t xml:space="preserve">or internal use </w:t>
            </w:r>
            <w:r w:rsidR="00736A9D">
              <w:rPr>
                <w:sz w:val="22"/>
                <w:szCs w:val="22"/>
              </w:rPr>
              <w:t>only</w:t>
            </w:r>
          </w:p>
        </w:tc>
      </w:tr>
      <w:tr w:rsidR="00E3431F" w14:paraId="60C92BA2" w14:textId="77777777" w:rsidTr="00723CF2">
        <w:tc>
          <w:tcPr>
            <w:tcW w:w="10604" w:type="dxa"/>
            <w:gridSpan w:val="6"/>
            <w:shd w:val="clear" w:color="auto" w:fill="92D050"/>
          </w:tcPr>
          <w:p w14:paraId="1AAC586E" w14:textId="719B6E1F" w:rsidR="00E3431F" w:rsidRPr="00155350" w:rsidRDefault="00E3431F" w:rsidP="00664D5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E37CC">
              <w:rPr>
                <w:b/>
                <w:sz w:val="22"/>
                <w:szCs w:val="22"/>
              </w:rPr>
              <w:t xml:space="preserve">rocedure </w:t>
            </w:r>
          </w:p>
        </w:tc>
      </w:tr>
      <w:tr w:rsidR="00E3431F" w14:paraId="0E27CB3E" w14:textId="77777777" w:rsidTr="00723CF2">
        <w:tc>
          <w:tcPr>
            <w:tcW w:w="10604" w:type="dxa"/>
            <w:gridSpan w:val="6"/>
          </w:tcPr>
          <w:p w14:paraId="386C1E04" w14:textId="6CE039CA" w:rsidR="002A25D1" w:rsidRDefault="00DB2E17" w:rsidP="006003D4">
            <w:pPr>
              <w:rPr>
                <w:rStyle w:val="Emphasis"/>
                <w:b w:val="0"/>
                <w:iCs w:val="0"/>
                <w:sz w:val="22"/>
              </w:rPr>
            </w:pPr>
            <w:bookmarkStart w:id="2" w:name="_Hlk106012919"/>
            <w:r w:rsidRPr="008D2679">
              <w:rPr>
                <w:sz w:val="22"/>
                <w:szCs w:val="22"/>
              </w:rPr>
              <w:t xml:space="preserve">The </w:t>
            </w:r>
            <w:r w:rsidR="00CE7DEF" w:rsidRPr="008D2679">
              <w:rPr>
                <w:sz w:val="22"/>
                <w:szCs w:val="22"/>
              </w:rPr>
              <w:t>responsibility</w:t>
            </w:r>
            <w:r w:rsidRPr="008D2679">
              <w:rPr>
                <w:sz w:val="22"/>
                <w:szCs w:val="22"/>
              </w:rPr>
              <w:t xml:space="preserve"> for monitoring and ma</w:t>
            </w:r>
            <w:r w:rsidR="00CE7DEF" w:rsidRPr="008D2679">
              <w:rPr>
                <w:sz w:val="22"/>
                <w:szCs w:val="22"/>
              </w:rPr>
              <w:t>naging p</w:t>
            </w:r>
            <w:r w:rsidRPr="008D2679">
              <w:rPr>
                <w:sz w:val="22"/>
                <w:szCs w:val="22"/>
              </w:rPr>
              <w:t>robationary/transitions periods</w:t>
            </w:r>
            <w:r w:rsidR="00F7587B" w:rsidRPr="008D2679">
              <w:rPr>
                <w:sz w:val="22"/>
                <w:szCs w:val="22"/>
              </w:rPr>
              <w:t xml:space="preserve"> (PP/TP)</w:t>
            </w:r>
            <w:r w:rsidRPr="008D2679">
              <w:rPr>
                <w:sz w:val="22"/>
                <w:szCs w:val="22"/>
              </w:rPr>
              <w:t xml:space="preserve"> lies with the line manager </w:t>
            </w:r>
            <w:r w:rsidR="00CE7DEF" w:rsidRPr="008D2679">
              <w:rPr>
                <w:sz w:val="22"/>
                <w:szCs w:val="22"/>
              </w:rPr>
              <w:t>by using the following procedure</w:t>
            </w:r>
            <w:r w:rsidR="00F7587B" w:rsidRPr="008D2679">
              <w:rPr>
                <w:sz w:val="22"/>
                <w:szCs w:val="22"/>
              </w:rPr>
              <w:t xml:space="preserve"> which may</w:t>
            </w:r>
            <w:r w:rsidR="001F13CE" w:rsidRPr="008D2679">
              <w:rPr>
                <w:sz w:val="22"/>
                <w:szCs w:val="22"/>
              </w:rPr>
              <w:t xml:space="preserve"> </w:t>
            </w:r>
            <w:r w:rsidR="00F7587B" w:rsidRPr="008D2679">
              <w:rPr>
                <w:sz w:val="22"/>
                <w:szCs w:val="22"/>
              </w:rPr>
              <w:t>be subject to change</w:t>
            </w:r>
            <w:r w:rsidR="00CE7DEF" w:rsidRPr="008D2679">
              <w:rPr>
                <w:sz w:val="22"/>
                <w:szCs w:val="22"/>
              </w:rPr>
              <w:t xml:space="preserve">: </w:t>
            </w:r>
            <w:bookmarkStart w:id="3" w:name="_Hlk106013127"/>
            <w:bookmarkEnd w:id="2"/>
          </w:p>
          <w:bookmarkEnd w:id="3"/>
          <w:p w14:paraId="0605E9B0" w14:textId="77777777" w:rsidR="008D2679" w:rsidRDefault="008D2679" w:rsidP="002A25D1">
            <w:pPr>
              <w:pStyle w:val="Heading3"/>
              <w:spacing w:before="0"/>
              <w:rPr>
                <w:rStyle w:val="Emphasis"/>
                <w:bCs/>
                <w:iCs w:val="0"/>
                <w:sz w:val="22"/>
              </w:rPr>
            </w:pPr>
          </w:p>
          <w:p w14:paraId="7A3AF90C" w14:textId="268B0099" w:rsidR="002A25D1" w:rsidRPr="00792403" w:rsidRDefault="00540D25" w:rsidP="002A25D1">
            <w:pPr>
              <w:pStyle w:val="Heading3"/>
              <w:spacing w:before="0"/>
              <w:rPr>
                <w:rStyle w:val="Emphasis"/>
                <w:bCs/>
                <w:iCs w:val="0"/>
                <w:color w:val="auto"/>
                <w:sz w:val="22"/>
              </w:rPr>
            </w:pPr>
            <w:r>
              <w:rPr>
                <w:rStyle w:val="Emphasis"/>
                <w:bCs/>
                <w:iCs w:val="0"/>
                <w:color w:val="auto"/>
                <w:sz w:val="22"/>
              </w:rPr>
              <w:t>1</w:t>
            </w:r>
            <w:r>
              <w:rPr>
                <w:rStyle w:val="Emphasis"/>
                <w:bCs/>
              </w:rPr>
              <w:t>.</w:t>
            </w:r>
            <w:r w:rsidR="009334A3" w:rsidRPr="009334A3">
              <w:rPr>
                <w:rStyle w:val="Emphasis"/>
                <w:bCs/>
                <w:sz w:val="22"/>
                <w:szCs w:val="22"/>
              </w:rPr>
              <w:t>1</w:t>
            </w:r>
            <w:r w:rsidR="009334A3">
              <w:rPr>
                <w:rStyle w:val="Emphasis"/>
                <w:bCs/>
              </w:rPr>
              <w:t xml:space="preserve"> </w:t>
            </w:r>
            <w:r w:rsidR="002A25D1" w:rsidRPr="00792403">
              <w:rPr>
                <w:rStyle w:val="Emphasis"/>
                <w:bCs/>
                <w:iCs w:val="0"/>
                <w:color w:val="auto"/>
                <w:sz w:val="22"/>
              </w:rPr>
              <w:t>Agreeing Objectives, Setting Standards and Monitoring Progress</w:t>
            </w:r>
          </w:p>
          <w:p w14:paraId="43713499" w14:textId="4EDF1794" w:rsidR="002A25D1" w:rsidRDefault="00CE7DEF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(</w:t>
            </w:r>
            <w:r w:rsidR="001637BB">
              <w:rPr>
                <w:sz w:val="22"/>
                <w:szCs w:val="22"/>
              </w:rPr>
              <w:t>People Teams</w:t>
            </w:r>
            <w:r w:rsidR="002A25D1" w:rsidRPr="00EF6C6F">
              <w:rPr>
                <w:sz w:val="22"/>
                <w:szCs w:val="22"/>
              </w:rPr>
              <w:t xml:space="preserve">/Recruitment </w:t>
            </w:r>
            <w:r w:rsidR="001637BB">
              <w:rPr>
                <w:sz w:val="22"/>
                <w:szCs w:val="22"/>
              </w:rPr>
              <w:t xml:space="preserve">Support </w:t>
            </w:r>
            <w:r w:rsidR="002A25D1" w:rsidRPr="00EF6C6F">
              <w:rPr>
                <w:sz w:val="22"/>
                <w:szCs w:val="22"/>
              </w:rPr>
              <w:t xml:space="preserve">records the </w:t>
            </w:r>
            <w:r w:rsidR="0083238F" w:rsidRPr="00EF6C6F">
              <w:rPr>
                <w:sz w:val="22"/>
                <w:szCs w:val="22"/>
              </w:rPr>
              <w:t>26-week</w:t>
            </w:r>
            <w:r w:rsidR="002A25D1" w:rsidRPr="00EF6C6F">
              <w:rPr>
                <w:sz w:val="22"/>
                <w:szCs w:val="22"/>
              </w:rPr>
              <w:t xml:space="preserve"> PP/TP on the employee record on </w:t>
            </w:r>
            <w:r>
              <w:rPr>
                <w:sz w:val="22"/>
                <w:szCs w:val="22"/>
              </w:rPr>
              <w:t xml:space="preserve">Barnardo’s HR system). </w:t>
            </w:r>
          </w:p>
          <w:p w14:paraId="68FBB981" w14:textId="77777777" w:rsidR="002A25D1" w:rsidRPr="00EF6C6F" w:rsidRDefault="002A25D1" w:rsidP="002A25D1">
            <w:pPr>
              <w:rPr>
                <w:sz w:val="22"/>
                <w:szCs w:val="22"/>
              </w:rPr>
            </w:pPr>
          </w:p>
          <w:p w14:paraId="1C088798" w14:textId="0AABF54F" w:rsidR="002A25D1" w:rsidRDefault="002A25D1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manager holds an initial meeting with </w:t>
            </w:r>
            <w:r w:rsidRPr="00EF6C6F">
              <w:rPr>
                <w:sz w:val="22"/>
                <w:szCs w:val="22"/>
              </w:rPr>
              <w:t xml:space="preserve">the employee </w:t>
            </w:r>
            <w:r>
              <w:rPr>
                <w:sz w:val="22"/>
                <w:szCs w:val="22"/>
              </w:rPr>
              <w:t xml:space="preserve">(recommended </w:t>
            </w:r>
            <w:r w:rsidRPr="00EF6C6F">
              <w:rPr>
                <w:sz w:val="22"/>
                <w:szCs w:val="22"/>
              </w:rPr>
              <w:t>within 3 weeks of the employee</w:t>
            </w:r>
            <w:r>
              <w:rPr>
                <w:sz w:val="22"/>
                <w:szCs w:val="22"/>
              </w:rPr>
              <w:t xml:space="preserve"> starting work in the new role; or as soon as possible if objectives are being set as part of a red</w:t>
            </w:r>
            <w:r w:rsidR="002476A7">
              <w:rPr>
                <w:sz w:val="22"/>
                <w:szCs w:val="22"/>
              </w:rPr>
              <w:t>eployment</w:t>
            </w:r>
            <w:r>
              <w:rPr>
                <w:sz w:val="22"/>
                <w:szCs w:val="22"/>
              </w:rPr>
              <w:t xml:space="preserve"> trial period). The purpose of this meeting is:</w:t>
            </w:r>
          </w:p>
          <w:p w14:paraId="179A133B" w14:textId="77777777" w:rsidR="001637BB" w:rsidRDefault="001637BB" w:rsidP="002A25D1">
            <w:pPr>
              <w:rPr>
                <w:sz w:val="22"/>
                <w:szCs w:val="22"/>
              </w:rPr>
            </w:pPr>
          </w:p>
          <w:p w14:paraId="0E46A41E" w14:textId="6DED7FA7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EF11CD">
              <w:rPr>
                <w:sz w:val="22"/>
                <w:szCs w:val="22"/>
              </w:rPr>
              <w:t xml:space="preserve">discuss progress and any </w:t>
            </w:r>
            <w:r>
              <w:rPr>
                <w:sz w:val="22"/>
                <w:szCs w:val="22"/>
              </w:rPr>
              <w:t>issues</w:t>
            </w:r>
            <w:r w:rsidRPr="00EF11CD">
              <w:rPr>
                <w:sz w:val="22"/>
                <w:szCs w:val="22"/>
              </w:rPr>
              <w:t xml:space="preserve"> so </w:t>
            </w:r>
            <w:proofErr w:type="gramStart"/>
            <w:r w:rsidRPr="00EF11CD">
              <w:rPr>
                <w:sz w:val="22"/>
                <w:szCs w:val="22"/>
              </w:rPr>
              <w:t>far;</w:t>
            </w:r>
            <w:proofErr w:type="gramEnd"/>
          </w:p>
          <w:p w14:paraId="4B47223A" w14:textId="15EE191A" w:rsidR="00A50741" w:rsidRPr="00EF11CD" w:rsidRDefault="00A5074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discuss and review any reasonable adjustments; </w:t>
            </w:r>
          </w:p>
          <w:p w14:paraId="4712DAD4" w14:textId="77777777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EF11CD">
              <w:rPr>
                <w:sz w:val="22"/>
                <w:szCs w:val="22"/>
              </w:rPr>
              <w:t>agree the employe</w:t>
            </w:r>
            <w:r>
              <w:rPr>
                <w:sz w:val="22"/>
                <w:szCs w:val="22"/>
              </w:rPr>
              <w:t>e's objectives for the PP/TP;</w:t>
            </w:r>
          </w:p>
          <w:p w14:paraId="3961DF3E" w14:textId="77777777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agree the required/mandatory training to be completed during the PP/TP;</w:t>
            </w:r>
          </w:p>
          <w:p w14:paraId="7ABE1A66" w14:textId="1548E7FF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agree any </w:t>
            </w:r>
            <w:r w:rsidRPr="00EF6C6F">
              <w:rPr>
                <w:sz w:val="22"/>
                <w:szCs w:val="22"/>
              </w:rPr>
              <w:t>skills/</w:t>
            </w:r>
            <w:r w:rsidR="0083238F" w:rsidRPr="00EF6C6F">
              <w:rPr>
                <w:sz w:val="22"/>
                <w:szCs w:val="22"/>
              </w:rPr>
              <w:t>competency-based</w:t>
            </w:r>
            <w:r w:rsidRPr="00EF6C6F">
              <w:rPr>
                <w:sz w:val="22"/>
                <w:szCs w:val="22"/>
              </w:rPr>
              <w:t xml:space="preserve"> objectives fo</w:t>
            </w:r>
            <w:r>
              <w:rPr>
                <w:sz w:val="22"/>
                <w:szCs w:val="22"/>
              </w:rPr>
              <w:t>r skills-gaps identified so far; and</w:t>
            </w:r>
          </w:p>
          <w:p w14:paraId="6A07A2D4" w14:textId="0CE089E4" w:rsidR="002A25D1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Pr="00EF11CD">
              <w:rPr>
                <w:sz w:val="22"/>
                <w:szCs w:val="22"/>
              </w:rPr>
              <w:t>inform</w:t>
            </w:r>
            <w:r>
              <w:rPr>
                <w:sz w:val="22"/>
                <w:szCs w:val="22"/>
              </w:rPr>
              <w:t xml:space="preserve"> the</w:t>
            </w:r>
            <w:r w:rsidRPr="00EF11CD">
              <w:rPr>
                <w:sz w:val="22"/>
                <w:szCs w:val="22"/>
              </w:rPr>
              <w:t xml:space="preserve"> employee of the standards expected and </w:t>
            </w:r>
            <w:r>
              <w:rPr>
                <w:sz w:val="22"/>
                <w:szCs w:val="22"/>
              </w:rPr>
              <w:t xml:space="preserve">agree the information and support required for their </w:t>
            </w:r>
            <w:r w:rsidRPr="00EF11CD">
              <w:rPr>
                <w:sz w:val="22"/>
                <w:szCs w:val="22"/>
              </w:rPr>
              <w:t>achieve</w:t>
            </w:r>
            <w:r>
              <w:rPr>
                <w:sz w:val="22"/>
                <w:szCs w:val="22"/>
              </w:rPr>
              <w:t>ment.</w:t>
            </w:r>
          </w:p>
          <w:p w14:paraId="1D169FEF" w14:textId="77777777" w:rsidR="001637BB" w:rsidRPr="00EF11CD" w:rsidRDefault="001637BB" w:rsidP="001637BB">
            <w:pPr>
              <w:pStyle w:val="ListParagraph"/>
              <w:ind w:left="709"/>
              <w:rPr>
                <w:sz w:val="22"/>
                <w:szCs w:val="22"/>
              </w:rPr>
            </w:pPr>
          </w:p>
          <w:p w14:paraId="41FE8EE2" w14:textId="6B2EA54C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records employee's objectives for the first 26 weeks on the employee's P/TPA, together with any support/training/learning and development </w:t>
            </w:r>
            <w:r>
              <w:rPr>
                <w:sz w:val="22"/>
                <w:szCs w:val="22"/>
              </w:rPr>
              <w:t>needs</w:t>
            </w:r>
            <w:r w:rsidRPr="00EF6C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14:paraId="77883C75" w14:textId="77777777" w:rsidR="001637BB" w:rsidRPr="00EF6C6F" w:rsidRDefault="001637BB" w:rsidP="002A25D1">
            <w:pPr>
              <w:rPr>
                <w:sz w:val="22"/>
                <w:szCs w:val="22"/>
              </w:rPr>
            </w:pPr>
          </w:p>
          <w:p w14:paraId="5DBC5535" w14:textId="38889074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Throughout the PP/TP</w:t>
            </w:r>
            <w:r>
              <w:rPr>
                <w:sz w:val="22"/>
                <w:szCs w:val="22"/>
              </w:rPr>
              <w:t xml:space="preserve"> the</w:t>
            </w:r>
            <w:r w:rsidRPr="00EF6C6F">
              <w:rPr>
                <w:sz w:val="22"/>
                <w:szCs w:val="22"/>
              </w:rPr>
              <w:t> manager holds regular </w:t>
            </w:r>
            <w:r w:rsidR="001637BB">
              <w:rPr>
                <w:sz w:val="22"/>
                <w:szCs w:val="22"/>
              </w:rPr>
              <w:t>one-to-one</w:t>
            </w:r>
            <w:r w:rsidRPr="00EF6C6F">
              <w:rPr>
                <w:sz w:val="22"/>
                <w:szCs w:val="22"/>
              </w:rPr>
              <w:t xml:space="preserve">/supervision meetings with the employee to discuss </w:t>
            </w:r>
            <w:r>
              <w:rPr>
                <w:sz w:val="22"/>
                <w:szCs w:val="22"/>
              </w:rPr>
              <w:t xml:space="preserve">and review what was agreed at the initial meeting and identify whether any additional information, support or </w:t>
            </w:r>
            <w:r w:rsidRPr="00EF6C6F">
              <w:rPr>
                <w:sz w:val="22"/>
                <w:szCs w:val="22"/>
              </w:rPr>
              <w:t>learning and development </w:t>
            </w:r>
            <w:r>
              <w:rPr>
                <w:sz w:val="22"/>
                <w:szCs w:val="22"/>
              </w:rPr>
              <w:t>is required. </w:t>
            </w:r>
            <w:r w:rsidR="001637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written record should be made of any agreed changes or additions.</w:t>
            </w:r>
          </w:p>
          <w:p w14:paraId="6A1A8B01" w14:textId="77777777" w:rsidR="001637BB" w:rsidRDefault="001637BB" w:rsidP="002A25D1">
            <w:pPr>
              <w:rPr>
                <w:sz w:val="22"/>
                <w:szCs w:val="22"/>
              </w:rPr>
            </w:pPr>
          </w:p>
          <w:p w14:paraId="1D1DBBAE" w14:textId="72DFCE99" w:rsidR="002A25D1" w:rsidRDefault="002A25D1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Where an existing employee has transitioned into a new role as an alternative to redundancy</w:t>
            </w:r>
            <w:r w:rsidR="009C4109">
              <w:rPr>
                <w:sz w:val="22"/>
                <w:szCs w:val="22"/>
              </w:rPr>
              <w:t xml:space="preserve"> (redeployment)</w:t>
            </w:r>
            <w:r>
              <w:rPr>
                <w:sz w:val="22"/>
                <w:szCs w:val="22"/>
              </w:rPr>
              <w:t>, the TP process should be used to support the trial period to assess the employee’s suitability for the role.</w:t>
            </w:r>
          </w:p>
          <w:p w14:paraId="7BB6635E" w14:textId="77777777" w:rsidR="001637BB" w:rsidRDefault="001637BB" w:rsidP="002A25D1">
            <w:pPr>
              <w:rPr>
                <w:sz w:val="22"/>
                <w:szCs w:val="22"/>
              </w:rPr>
            </w:pPr>
          </w:p>
          <w:p w14:paraId="5C2A8809" w14:textId="1DCD39DB" w:rsidR="00B80F72" w:rsidRDefault="002A25D1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manager and employee must meet for formal review meetings at 13 and 26 weeks.</w:t>
            </w:r>
            <w:r w:rsidR="00F2149A">
              <w:rPr>
                <w:rStyle w:val="Emphasis"/>
                <w:bCs/>
                <w:iCs w:val="0"/>
                <w:sz w:val="22"/>
              </w:rPr>
              <w:br/>
            </w:r>
          </w:p>
          <w:p w14:paraId="114C6CFB" w14:textId="424663A6" w:rsidR="002A25D1" w:rsidRDefault="00F2149A" w:rsidP="002A25D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A653B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80F72" w:rsidRPr="00B80F72">
              <w:rPr>
                <w:b/>
                <w:bCs/>
                <w:sz w:val="22"/>
                <w:szCs w:val="22"/>
              </w:rPr>
              <w:t>Addressing Concerns</w:t>
            </w:r>
            <w:r w:rsidR="00B80F72">
              <w:rPr>
                <w:sz w:val="22"/>
                <w:szCs w:val="22"/>
              </w:rPr>
              <w:t xml:space="preserve"> </w:t>
            </w:r>
            <w:r w:rsidR="00A82CA9">
              <w:rPr>
                <w:sz w:val="22"/>
                <w:szCs w:val="22"/>
              </w:rPr>
              <w:br/>
            </w:r>
            <w:r w:rsidR="002A25D1">
              <w:rPr>
                <w:sz w:val="22"/>
                <w:szCs w:val="22"/>
              </w:rPr>
              <w:t xml:space="preserve">Where there are unresolved concerns about </w:t>
            </w:r>
            <w:r w:rsidR="002A25D1" w:rsidRPr="00EF6C6F">
              <w:rPr>
                <w:sz w:val="22"/>
                <w:szCs w:val="22"/>
              </w:rPr>
              <w:t xml:space="preserve">an </w:t>
            </w:r>
            <w:r w:rsidR="002A25D1">
              <w:rPr>
                <w:sz w:val="22"/>
                <w:szCs w:val="22"/>
              </w:rPr>
              <w:t xml:space="preserve">employee </w:t>
            </w:r>
            <w:r w:rsidR="002A25D1" w:rsidRPr="00EF6C6F">
              <w:rPr>
                <w:sz w:val="22"/>
                <w:szCs w:val="22"/>
              </w:rPr>
              <w:t xml:space="preserve">successfully completing their </w:t>
            </w:r>
            <w:r w:rsidR="002A25D1">
              <w:rPr>
                <w:sz w:val="22"/>
                <w:szCs w:val="22"/>
              </w:rPr>
              <w:t>PP/</w:t>
            </w:r>
            <w:r w:rsidR="002A25D1" w:rsidRPr="00EF6C6F">
              <w:rPr>
                <w:sz w:val="22"/>
                <w:szCs w:val="22"/>
              </w:rPr>
              <w:t>T</w:t>
            </w:r>
            <w:r w:rsidR="002A25D1">
              <w:rPr>
                <w:sz w:val="22"/>
                <w:szCs w:val="22"/>
              </w:rPr>
              <w:t>P, t</w:t>
            </w:r>
            <w:r w:rsidR="002A25D1" w:rsidRPr="00EF6C6F">
              <w:rPr>
                <w:sz w:val="22"/>
                <w:szCs w:val="22"/>
              </w:rPr>
              <w:t>he manager</w:t>
            </w:r>
            <w:r w:rsidR="002A25D1">
              <w:rPr>
                <w:sz w:val="22"/>
                <w:szCs w:val="22"/>
              </w:rPr>
              <w:t xml:space="preserve"> </w:t>
            </w:r>
            <w:r w:rsidR="0032630C" w:rsidRPr="00AE5390">
              <w:rPr>
                <w:b/>
                <w:bCs/>
                <w:sz w:val="22"/>
                <w:szCs w:val="22"/>
              </w:rPr>
              <w:t>must</w:t>
            </w:r>
            <w:r w:rsidR="0032630C">
              <w:rPr>
                <w:sz w:val="22"/>
                <w:szCs w:val="22"/>
              </w:rPr>
              <w:t xml:space="preserve"> </w:t>
            </w:r>
            <w:r w:rsidR="002A25D1">
              <w:rPr>
                <w:sz w:val="22"/>
                <w:szCs w:val="22"/>
              </w:rPr>
              <w:t xml:space="preserve">seek further advice </w:t>
            </w:r>
            <w:r w:rsidR="002A25D1" w:rsidRPr="00EF6C6F">
              <w:rPr>
                <w:sz w:val="22"/>
                <w:szCs w:val="22"/>
              </w:rPr>
              <w:t>from the</w:t>
            </w:r>
            <w:r w:rsidR="0049258C">
              <w:rPr>
                <w:sz w:val="22"/>
                <w:szCs w:val="22"/>
              </w:rPr>
              <w:t>ir People Team</w:t>
            </w:r>
            <w:r w:rsidR="002A25D1">
              <w:rPr>
                <w:sz w:val="22"/>
                <w:szCs w:val="22"/>
              </w:rPr>
              <w:t>.</w:t>
            </w:r>
            <w:r w:rsidR="00060F7B">
              <w:rPr>
                <w:sz w:val="22"/>
                <w:szCs w:val="22"/>
              </w:rPr>
              <w:br/>
            </w:r>
          </w:p>
          <w:p w14:paraId="3BFD823F" w14:textId="78B27818" w:rsidR="002A25D1" w:rsidRPr="00146E91" w:rsidRDefault="002A25D1" w:rsidP="00AB6FFE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7CB3">
              <w:rPr>
                <w:b/>
                <w:sz w:val="22"/>
                <w:szCs w:val="22"/>
              </w:rPr>
              <w:t>For T</w:t>
            </w:r>
            <w:r>
              <w:rPr>
                <w:b/>
                <w:sz w:val="22"/>
                <w:szCs w:val="22"/>
              </w:rPr>
              <w:t xml:space="preserve">ransition </w:t>
            </w:r>
            <w:r w:rsidRPr="00167CB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eriods - </w:t>
            </w:r>
            <w:r>
              <w:rPr>
                <w:sz w:val="22"/>
                <w:szCs w:val="22"/>
              </w:rPr>
              <w:t>any</w:t>
            </w:r>
            <w:r w:rsidRPr="00EF6C6F">
              <w:rPr>
                <w:sz w:val="22"/>
                <w:szCs w:val="22"/>
              </w:rPr>
              <w:t xml:space="preserve"> appropriate action </w:t>
            </w:r>
            <w:r>
              <w:rPr>
                <w:sz w:val="22"/>
                <w:szCs w:val="22"/>
              </w:rPr>
              <w:t xml:space="preserve">to address these concerns will be taken within the timeframes stated under </w:t>
            </w:r>
            <w:r w:rsidRPr="00EF6C6F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 relevant Barnardo's procedure, </w:t>
            </w:r>
            <w:r w:rsidR="0083238F">
              <w:rPr>
                <w:sz w:val="22"/>
                <w:szCs w:val="22"/>
              </w:rPr>
              <w:t>i.e.,</w:t>
            </w:r>
            <w:r>
              <w:rPr>
                <w:sz w:val="22"/>
                <w:szCs w:val="22"/>
              </w:rPr>
              <w:t xml:space="preserve"> Performance Improvement Process, disciplinary, sickness </w:t>
            </w:r>
            <w:r w:rsidRPr="00146E91">
              <w:rPr>
                <w:sz w:val="22"/>
                <w:szCs w:val="22"/>
              </w:rPr>
              <w:t xml:space="preserve">absence etc. </w:t>
            </w:r>
          </w:p>
          <w:p w14:paraId="3CF9AE7D" w14:textId="59C3DFAB" w:rsidR="00A80257" w:rsidRPr="00942244" w:rsidRDefault="002A25D1" w:rsidP="00B22D7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bookmarkStart w:id="4" w:name="_Hlk106013379"/>
            <w:r w:rsidRPr="006A408A">
              <w:rPr>
                <w:b/>
                <w:sz w:val="22"/>
                <w:szCs w:val="22"/>
              </w:rPr>
              <w:t>For Probationary Periods -</w:t>
            </w:r>
            <w:r w:rsidRPr="006A408A">
              <w:rPr>
                <w:sz w:val="22"/>
                <w:szCs w:val="22"/>
              </w:rPr>
              <w:t xml:space="preserve"> appropriate action </w:t>
            </w:r>
            <w:r w:rsidR="00FB02AC">
              <w:rPr>
                <w:sz w:val="22"/>
                <w:szCs w:val="22"/>
              </w:rPr>
              <w:t>may</w:t>
            </w:r>
            <w:r w:rsidRPr="006A408A">
              <w:rPr>
                <w:sz w:val="22"/>
                <w:szCs w:val="22"/>
              </w:rPr>
              <w:t xml:space="preserve"> be taken under this procedure</w:t>
            </w:r>
            <w:r w:rsidR="00FB02AC">
              <w:rPr>
                <w:sz w:val="22"/>
                <w:szCs w:val="22"/>
              </w:rPr>
              <w:t xml:space="preserve"> and one of the options applied </w:t>
            </w:r>
            <w:r w:rsidR="00ED335D">
              <w:rPr>
                <w:sz w:val="22"/>
                <w:szCs w:val="22"/>
              </w:rPr>
              <w:t>b</w:t>
            </w:r>
            <w:r w:rsidRPr="006A408A">
              <w:rPr>
                <w:sz w:val="22"/>
                <w:szCs w:val="22"/>
              </w:rPr>
              <w:t>elow</w:t>
            </w:r>
            <w:r w:rsidR="00ED335D">
              <w:rPr>
                <w:sz w:val="22"/>
                <w:szCs w:val="22"/>
              </w:rPr>
              <w:t xml:space="preserve">. </w:t>
            </w:r>
            <w:r w:rsidR="003D4FEB" w:rsidRPr="00146E91">
              <w:rPr>
                <w:sz w:val="22"/>
                <w:szCs w:val="22"/>
              </w:rPr>
              <w:t>Note that the employee’s PP usually can be extended only once unless there are exceptional circumstances</w:t>
            </w:r>
            <w:r w:rsidR="00ED335D">
              <w:rPr>
                <w:sz w:val="22"/>
                <w:szCs w:val="22"/>
              </w:rPr>
              <w:t>.</w:t>
            </w:r>
            <w:r w:rsidR="006A408A">
              <w:rPr>
                <w:color w:val="FF0000"/>
                <w:sz w:val="22"/>
                <w:szCs w:val="22"/>
              </w:rPr>
              <w:br/>
            </w:r>
          </w:p>
          <w:bookmarkEnd w:id="4"/>
          <w:p w14:paraId="2CAA091C" w14:textId="50702AA4" w:rsidR="00EB2E29" w:rsidRPr="00FB02AC" w:rsidRDefault="002A25D1" w:rsidP="00EB2E29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color w:val="auto"/>
                <w:sz w:val="22"/>
                <w:szCs w:val="22"/>
                <w:lang w:val="en-GB" w:eastAsia="en-GB"/>
              </w:rPr>
            </w:pPr>
            <w:r w:rsidRPr="00942244">
              <w:rPr>
                <w:rStyle w:val="Emphasis"/>
                <w:bCs/>
                <w:iCs w:val="0"/>
                <w:color w:val="auto"/>
                <w:sz w:val="22"/>
              </w:rPr>
              <w:t>(A) Extending the employee’s PP:</w:t>
            </w:r>
            <w:r w:rsidR="00485CA2">
              <w:rPr>
                <w:rStyle w:val="Emphasis"/>
                <w:bCs/>
                <w:iCs w:val="0"/>
                <w:color w:val="auto"/>
                <w:sz w:val="22"/>
              </w:rPr>
              <w:br/>
            </w:r>
            <w:r w:rsidR="00EB2E29" w:rsidRPr="00FB02AC">
              <w:rPr>
                <w:rFonts w:ascii="Verdana" w:hAnsi="Verdana"/>
                <w:color w:val="auto"/>
                <w:sz w:val="22"/>
                <w:szCs w:val="22"/>
                <w:lang w:val="en-GB" w:eastAsia="en-GB"/>
              </w:rPr>
              <w:t>A probationary period may be extended in the following circumstances:</w:t>
            </w:r>
          </w:p>
          <w:p w14:paraId="122C3D28" w14:textId="6EB54D22" w:rsidR="00EB2E29" w:rsidRPr="00EB2E29" w:rsidRDefault="00EB2E29" w:rsidP="00EB2E29">
            <w:pPr>
              <w:numPr>
                <w:ilvl w:val="0"/>
                <w:numId w:val="40"/>
              </w:numPr>
              <w:shd w:val="clear" w:color="auto" w:fill="FFFFFF"/>
              <w:ind w:left="1080"/>
              <w:textAlignment w:val="baseline"/>
              <w:rPr>
                <w:sz w:val="22"/>
                <w:szCs w:val="22"/>
              </w:rPr>
            </w:pPr>
            <w:r w:rsidRPr="00EB2E29">
              <w:rPr>
                <w:sz w:val="22"/>
                <w:szCs w:val="22"/>
              </w:rPr>
              <w:t xml:space="preserve">There are concerns about an employee’s </w:t>
            </w:r>
            <w:r w:rsidR="00FB02AC">
              <w:rPr>
                <w:sz w:val="22"/>
                <w:szCs w:val="22"/>
              </w:rPr>
              <w:t xml:space="preserve">attendance, </w:t>
            </w:r>
            <w:r w:rsidRPr="00EB2E29">
              <w:rPr>
                <w:sz w:val="22"/>
                <w:szCs w:val="22"/>
              </w:rPr>
              <w:t>performance, conduct where it is believed these can be addressed during the extended period.</w:t>
            </w:r>
          </w:p>
          <w:p w14:paraId="4632F408" w14:textId="74EE6FD8" w:rsidR="00EB2E29" w:rsidRPr="00EB2E29" w:rsidRDefault="00EB2E29" w:rsidP="00EB2E29">
            <w:pPr>
              <w:numPr>
                <w:ilvl w:val="0"/>
                <w:numId w:val="40"/>
              </w:numPr>
              <w:shd w:val="clear" w:color="auto" w:fill="FFFFFF"/>
              <w:ind w:left="1080"/>
              <w:textAlignment w:val="baseline"/>
              <w:rPr>
                <w:sz w:val="22"/>
                <w:szCs w:val="22"/>
              </w:rPr>
            </w:pPr>
            <w:r w:rsidRPr="00EB2E29">
              <w:rPr>
                <w:sz w:val="22"/>
                <w:szCs w:val="22"/>
              </w:rPr>
              <w:t xml:space="preserve">The employee has not completed all </w:t>
            </w:r>
            <w:r w:rsidR="00EF1923">
              <w:rPr>
                <w:sz w:val="22"/>
                <w:szCs w:val="22"/>
              </w:rPr>
              <w:t xml:space="preserve">of their </w:t>
            </w:r>
            <w:r w:rsidRPr="00EB2E29">
              <w:rPr>
                <w:sz w:val="22"/>
                <w:szCs w:val="22"/>
              </w:rPr>
              <w:t>mandatory training.</w:t>
            </w:r>
          </w:p>
          <w:p w14:paraId="2BC8C235" w14:textId="1782D4A2" w:rsidR="00EB2E29" w:rsidRPr="00EB2E29" w:rsidRDefault="00A35468" w:rsidP="00EB2E29">
            <w:pPr>
              <w:numPr>
                <w:ilvl w:val="0"/>
                <w:numId w:val="40"/>
              </w:numPr>
              <w:shd w:val="clear" w:color="auto" w:fill="FFFFFF"/>
              <w:ind w:left="1080"/>
              <w:textAlignment w:val="baseline"/>
              <w:rPr>
                <w:sz w:val="22"/>
                <w:szCs w:val="22"/>
              </w:rPr>
            </w:pPr>
            <w:r w:rsidRPr="003F5E8D">
              <w:rPr>
                <w:sz w:val="22"/>
                <w:szCs w:val="22"/>
              </w:rPr>
              <w:t>T</w:t>
            </w:r>
            <w:r w:rsidR="00EB2E29" w:rsidRPr="00EB2E29">
              <w:rPr>
                <w:sz w:val="22"/>
                <w:szCs w:val="22"/>
              </w:rPr>
              <w:t>he employee has had a significant amount of time away from work (e.g. on maternity, adoption,</w:t>
            </w:r>
            <w:r w:rsidR="00F4196A">
              <w:rPr>
                <w:sz w:val="22"/>
                <w:szCs w:val="22"/>
              </w:rPr>
              <w:t xml:space="preserve"> fostering</w:t>
            </w:r>
            <w:r w:rsidR="00EB2E29" w:rsidRPr="00EB2E29">
              <w:rPr>
                <w:sz w:val="22"/>
                <w:szCs w:val="22"/>
              </w:rPr>
              <w:t xml:space="preserve"> or shared parental leave or sickness absence) and has therefore been unable to demonstrate competence in certain areas.</w:t>
            </w:r>
          </w:p>
          <w:p w14:paraId="7F9C43C2" w14:textId="587BB65D" w:rsidR="002A25D1" w:rsidRPr="00B13133" w:rsidRDefault="002A25D1" w:rsidP="002A25D1">
            <w:pPr>
              <w:pStyle w:val="Heading3"/>
              <w:spacing w:before="0"/>
              <w:rPr>
                <w:rStyle w:val="Emphasis"/>
                <w:bCs/>
                <w:iCs w:val="0"/>
                <w:color w:val="auto"/>
                <w:sz w:val="22"/>
              </w:rPr>
            </w:pPr>
          </w:p>
          <w:p w14:paraId="28E076B8" w14:textId="2AD6D812" w:rsidR="002A25D1" w:rsidRDefault="002A25D1" w:rsidP="002A25D1">
            <w:pPr>
              <w:rPr>
                <w:sz w:val="22"/>
                <w:szCs w:val="22"/>
              </w:rPr>
            </w:pPr>
            <w:r w:rsidRPr="00B13133">
              <w:rPr>
                <w:sz w:val="22"/>
                <w:szCs w:val="22"/>
              </w:rPr>
              <w:t>Manager </w:t>
            </w:r>
            <w:r w:rsidRPr="00EF6C6F">
              <w:rPr>
                <w:sz w:val="22"/>
                <w:szCs w:val="22"/>
              </w:rPr>
              <w:t>meets with employee to discuss the extension to their PP</w:t>
            </w:r>
            <w:r>
              <w:rPr>
                <w:sz w:val="22"/>
                <w:szCs w:val="22"/>
              </w:rPr>
              <w:t>.</w:t>
            </w:r>
            <w:r w:rsidRPr="00EF6C6F">
              <w:rPr>
                <w:sz w:val="22"/>
                <w:szCs w:val="22"/>
              </w:rPr>
              <w:t xml:space="preserve"> </w:t>
            </w:r>
            <w:r w:rsidR="004925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purpose of the meeting is:</w:t>
            </w:r>
          </w:p>
          <w:p w14:paraId="0F2BF4A5" w14:textId="77777777" w:rsidR="0049258C" w:rsidRDefault="0049258C" w:rsidP="002A25D1">
            <w:pPr>
              <w:rPr>
                <w:sz w:val="22"/>
                <w:szCs w:val="22"/>
              </w:rPr>
            </w:pPr>
          </w:p>
          <w:p w14:paraId="703B24B8" w14:textId="2BF468EE" w:rsidR="00E3042E" w:rsidRDefault="00E3042E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3042E">
              <w:rPr>
                <w:sz w:val="22"/>
                <w:szCs w:val="22"/>
              </w:rPr>
              <w:t xml:space="preserve">for the manager to set out the </w:t>
            </w:r>
            <w:r w:rsidR="00060F7B">
              <w:rPr>
                <w:sz w:val="22"/>
                <w:szCs w:val="22"/>
              </w:rPr>
              <w:t xml:space="preserve">required </w:t>
            </w:r>
            <w:r w:rsidRPr="00E3042E">
              <w:rPr>
                <w:sz w:val="22"/>
                <w:szCs w:val="22"/>
              </w:rPr>
              <w:t xml:space="preserve">standards to be met and/or training which must be completed, along with the </w:t>
            </w:r>
            <w:proofErr w:type="gramStart"/>
            <w:r w:rsidRPr="00E3042E">
              <w:rPr>
                <w:sz w:val="22"/>
                <w:szCs w:val="22"/>
              </w:rPr>
              <w:t>timescale</w:t>
            </w:r>
            <w:r w:rsidR="003E558E">
              <w:rPr>
                <w:sz w:val="22"/>
                <w:szCs w:val="22"/>
              </w:rPr>
              <w:t>;</w:t>
            </w:r>
            <w:proofErr w:type="gramEnd"/>
          </w:p>
          <w:p w14:paraId="46373374" w14:textId="6C61D64F" w:rsidR="002A25D1" w:rsidRPr="00687523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87523">
              <w:rPr>
                <w:sz w:val="22"/>
                <w:szCs w:val="22"/>
              </w:rPr>
              <w:t>for the manager to explain where there are areas of concern in the required standards and the improvements needed;</w:t>
            </w:r>
          </w:p>
          <w:p w14:paraId="1A42DC3E" w14:textId="155542AB" w:rsidR="003F12A1" w:rsidRPr="003F12A1" w:rsidRDefault="002A25D1" w:rsidP="00AE5390">
            <w:pPr>
              <w:pStyle w:val="ListParagraph"/>
              <w:numPr>
                <w:ilvl w:val="0"/>
                <w:numId w:val="31"/>
              </w:numPr>
            </w:pPr>
            <w:r w:rsidRPr="00687523">
              <w:rPr>
                <w:sz w:val="22"/>
                <w:szCs w:val="22"/>
              </w:rPr>
              <w:t xml:space="preserve">to jointly explore solutions to address these; </w:t>
            </w:r>
            <w:r w:rsidR="00E3042E">
              <w:rPr>
                <w:sz w:val="22"/>
                <w:szCs w:val="22"/>
              </w:rPr>
              <w:t xml:space="preserve">including </w:t>
            </w:r>
            <w:r w:rsidR="0099012C" w:rsidRPr="00E3042E">
              <w:rPr>
                <w:rStyle w:val="Emphasis"/>
                <w:b w:val="0"/>
                <w:bCs/>
                <w:iCs w:val="0"/>
                <w:sz w:val="22"/>
                <w:szCs w:val="22"/>
              </w:rPr>
              <w:t>considera</w:t>
            </w:r>
            <w:r w:rsidR="0099012C" w:rsidRPr="00E3042E">
              <w:rPr>
                <w:rStyle w:val="Emphasis"/>
                <w:b w:val="0"/>
                <w:bCs/>
                <w:iCs w:val="0"/>
                <w:sz w:val="22"/>
              </w:rPr>
              <w:t>tion</w:t>
            </w:r>
            <w:r w:rsidR="0099012C" w:rsidRPr="00E3042E">
              <w:rPr>
                <w:rStyle w:val="Emphasis"/>
                <w:bCs/>
                <w:iCs w:val="0"/>
                <w:sz w:val="22"/>
              </w:rPr>
              <w:t xml:space="preserve"> </w:t>
            </w:r>
            <w:r w:rsidR="0099012C" w:rsidRPr="003F12A1">
              <w:rPr>
                <w:sz w:val="22"/>
                <w:szCs w:val="22"/>
              </w:rPr>
              <w:t xml:space="preserve">to any appropriate reasonable adjustments, </w:t>
            </w:r>
            <w:r w:rsidRPr="00AE5390">
              <w:rPr>
                <w:sz w:val="22"/>
                <w:szCs w:val="22"/>
              </w:rPr>
              <w:t xml:space="preserve">and </w:t>
            </w:r>
            <w:r w:rsidR="00AE5390" w:rsidRPr="003F12A1">
              <w:rPr>
                <w:sz w:val="22"/>
                <w:szCs w:val="22"/>
              </w:rPr>
              <w:t xml:space="preserve">recognise an appropriate and practical timeframe for the required standards to be </w:t>
            </w:r>
            <w:proofErr w:type="gramStart"/>
            <w:r w:rsidR="00AE5390" w:rsidRPr="003F12A1">
              <w:rPr>
                <w:sz w:val="22"/>
                <w:szCs w:val="22"/>
              </w:rPr>
              <w:t>achieved</w:t>
            </w:r>
            <w:r w:rsidR="003E558E">
              <w:rPr>
                <w:sz w:val="22"/>
                <w:szCs w:val="22"/>
              </w:rPr>
              <w:t>;</w:t>
            </w:r>
            <w:proofErr w:type="gramEnd"/>
            <w:r w:rsidR="00AE5390" w:rsidRPr="003F12A1">
              <w:rPr>
                <w:iCs/>
              </w:rPr>
              <w:t xml:space="preserve"> </w:t>
            </w:r>
          </w:p>
          <w:p w14:paraId="4EBDD556" w14:textId="18EA0E4C" w:rsidR="002A25D1" w:rsidRPr="003F12A1" w:rsidRDefault="003F12A1" w:rsidP="00D0619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sz w:val="22"/>
                <w:szCs w:val="22"/>
              </w:rPr>
            </w:pPr>
            <w:r w:rsidRPr="003F12A1">
              <w:rPr>
                <w:rStyle w:val="Emphasis"/>
                <w:b w:val="0"/>
                <w:sz w:val="22"/>
                <w:szCs w:val="22"/>
              </w:rPr>
              <w:t xml:space="preserve">identify any further </w:t>
            </w:r>
            <w:r w:rsidRPr="003F12A1">
              <w:rPr>
                <w:rStyle w:val="Emphasis"/>
                <w:b w:val="0"/>
                <w:bCs/>
                <w:sz w:val="22"/>
                <w:szCs w:val="22"/>
              </w:rPr>
              <w:t xml:space="preserve">support and training necessary to enable the employee </w:t>
            </w:r>
            <w:r w:rsidR="0072283B" w:rsidRPr="003F12A1">
              <w:rPr>
                <w:rStyle w:val="Emphasis"/>
                <w:b w:val="0"/>
                <w:bCs/>
                <w:sz w:val="22"/>
                <w:szCs w:val="22"/>
              </w:rPr>
              <w:t>to achieve</w:t>
            </w:r>
            <w:r w:rsidRPr="003F12A1">
              <w:rPr>
                <w:rStyle w:val="Emphasis"/>
                <w:b w:val="0"/>
                <w:bCs/>
                <w:sz w:val="22"/>
                <w:szCs w:val="22"/>
              </w:rPr>
              <w:t xml:space="preserve"> the required </w:t>
            </w:r>
            <w:proofErr w:type="gramStart"/>
            <w:r w:rsidRPr="003F12A1">
              <w:rPr>
                <w:rStyle w:val="Emphasis"/>
                <w:b w:val="0"/>
                <w:bCs/>
                <w:sz w:val="22"/>
                <w:szCs w:val="22"/>
              </w:rPr>
              <w:t>standards</w:t>
            </w:r>
            <w:r w:rsidR="003E558E">
              <w:rPr>
                <w:rStyle w:val="Emphasis"/>
                <w:b w:val="0"/>
                <w:bCs/>
                <w:sz w:val="22"/>
                <w:szCs w:val="22"/>
              </w:rPr>
              <w:t>;</w:t>
            </w:r>
            <w:proofErr w:type="gramEnd"/>
            <w:r w:rsidRPr="003F12A1">
              <w:rPr>
                <w:rStyle w:val="Emphasis"/>
                <w:sz w:val="22"/>
                <w:szCs w:val="22"/>
              </w:rPr>
              <w:t xml:space="preserve"> </w:t>
            </w:r>
            <w:r w:rsidR="00AE5390" w:rsidRPr="003F12A1">
              <w:rPr>
                <w:sz w:val="22"/>
                <w:szCs w:val="22"/>
              </w:rPr>
              <w:t xml:space="preserve"> </w:t>
            </w:r>
          </w:p>
          <w:p w14:paraId="63AE292B" w14:textId="26863B1C" w:rsidR="002A25D1" w:rsidRPr="00687523" w:rsidRDefault="002A25D1" w:rsidP="00AB6FF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87523">
              <w:rPr>
                <w:sz w:val="22"/>
                <w:szCs w:val="22"/>
              </w:rPr>
              <w:t>to make the employee aware that if they do not achieve the required standards they may not be confirmed in post</w:t>
            </w:r>
            <w:r w:rsidR="00AE5390">
              <w:rPr>
                <w:sz w:val="22"/>
                <w:szCs w:val="22"/>
              </w:rPr>
              <w:t>.</w:t>
            </w:r>
          </w:p>
          <w:p w14:paraId="723BBCFE" w14:textId="77777777" w:rsidR="0049258C" w:rsidRPr="00F15E64" w:rsidRDefault="0049258C" w:rsidP="0049258C">
            <w:pPr>
              <w:pStyle w:val="ListParagraph"/>
              <w:rPr>
                <w:sz w:val="22"/>
                <w:szCs w:val="22"/>
              </w:rPr>
            </w:pPr>
          </w:p>
          <w:p w14:paraId="2B6E4A29" w14:textId="3374CC31" w:rsidR="002A25D1" w:rsidRDefault="002A25D1" w:rsidP="002A2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F6C6F">
              <w:rPr>
                <w:sz w:val="22"/>
                <w:szCs w:val="22"/>
              </w:rPr>
              <w:t xml:space="preserve">ny </w:t>
            </w:r>
            <w:r>
              <w:rPr>
                <w:sz w:val="22"/>
                <w:szCs w:val="22"/>
              </w:rPr>
              <w:t xml:space="preserve">agreed </w:t>
            </w:r>
            <w:r w:rsidRPr="00EF6C6F">
              <w:rPr>
                <w:sz w:val="22"/>
                <w:szCs w:val="22"/>
              </w:rPr>
              <w:t xml:space="preserve">modifications/additions </w:t>
            </w:r>
            <w:r>
              <w:rPr>
                <w:sz w:val="22"/>
                <w:szCs w:val="22"/>
              </w:rPr>
              <w:t>to the initial o</w:t>
            </w:r>
            <w:r w:rsidRPr="00EF6C6F">
              <w:rPr>
                <w:sz w:val="22"/>
                <w:szCs w:val="22"/>
              </w:rPr>
              <w:t xml:space="preserve">bjectives </w:t>
            </w:r>
            <w:r>
              <w:rPr>
                <w:sz w:val="22"/>
                <w:szCs w:val="22"/>
              </w:rPr>
              <w:t xml:space="preserve">must be recorded </w:t>
            </w:r>
            <w:r w:rsidRPr="00EF6C6F">
              <w:rPr>
                <w:sz w:val="22"/>
                <w:szCs w:val="22"/>
              </w:rPr>
              <w:t>on the P</w:t>
            </w:r>
            <w:r w:rsidR="0049258C">
              <w:rPr>
                <w:sz w:val="22"/>
                <w:szCs w:val="22"/>
              </w:rPr>
              <w:t>robation</w:t>
            </w:r>
            <w:r w:rsidR="005E6E5A">
              <w:rPr>
                <w:sz w:val="22"/>
                <w:szCs w:val="22"/>
              </w:rPr>
              <w:t xml:space="preserve"> &amp; Transition</w:t>
            </w:r>
            <w:r w:rsidR="00852ABC">
              <w:rPr>
                <w:sz w:val="22"/>
                <w:szCs w:val="22"/>
              </w:rPr>
              <w:t xml:space="preserve"> Agreement</w:t>
            </w:r>
            <w:r w:rsidR="005E6E5A">
              <w:rPr>
                <w:sz w:val="22"/>
                <w:szCs w:val="22"/>
              </w:rPr>
              <w:t xml:space="preserve"> form</w:t>
            </w:r>
            <w:r w:rsidRPr="00EF6C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E6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note should also be made of any further </w:t>
            </w:r>
            <w:r w:rsidRPr="00EF6C6F">
              <w:rPr>
                <w:sz w:val="22"/>
                <w:szCs w:val="22"/>
              </w:rPr>
              <w:t>support/training/learning and development required for the employee for the remainder of the PP</w:t>
            </w:r>
            <w:r>
              <w:rPr>
                <w:sz w:val="22"/>
                <w:szCs w:val="22"/>
              </w:rPr>
              <w:t>.</w:t>
            </w:r>
          </w:p>
          <w:p w14:paraId="2F4B4649" w14:textId="77777777" w:rsidR="005E6E5A" w:rsidRPr="00EF6C6F" w:rsidRDefault="005E6E5A" w:rsidP="002A25D1">
            <w:pPr>
              <w:rPr>
                <w:sz w:val="22"/>
                <w:szCs w:val="22"/>
              </w:rPr>
            </w:pPr>
          </w:p>
          <w:p w14:paraId="411FE42E" w14:textId="6D216936" w:rsidR="002A25D1" w:rsidRPr="00EF6C6F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confirms the details of the extension to the employee in writing and sends a copy to the</w:t>
            </w:r>
            <w:r w:rsidR="005E6E5A">
              <w:rPr>
                <w:sz w:val="22"/>
                <w:szCs w:val="22"/>
              </w:rPr>
              <w:t xml:space="preserve">ir People Team, seeking any guidance from them </w:t>
            </w:r>
            <w:r w:rsidR="00A558B3">
              <w:rPr>
                <w:sz w:val="22"/>
                <w:szCs w:val="22"/>
              </w:rPr>
              <w:t xml:space="preserve">during this process, </w:t>
            </w:r>
            <w:r w:rsidR="005E6E5A">
              <w:rPr>
                <w:sz w:val="22"/>
                <w:szCs w:val="22"/>
              </w:rPr>
              <w:t>as necessary</w:t>
            </w:r>
            <w:r w:rsidRPr="00EF6C6F">
              <w:rPr>
                <w:sz w:val="22"/>
                <w:szCs w:val="22"/>
              </w:rPr>
              <w:t xml:space="preserve">.  </w:t>
            </w:r>
            <w:r w:rsidR="005E6E5A">
              <w:rPr>
                <w:sz w:val="22"/>
                <w:szCs w:val="22"/>
              </w:rPr>
              <w:t xml:space="preserve">The People Teams </w:t>
            </w:r>
            <w:r w:rsidRPr="00EF6C6F">
              <w:rPr>
                <w:sz w:val="22"/>
                <w:szCs w:val="22"/>
              </w:rPr>
              <w:t xml:space="preserve">records new PP end-date on </w:t>
            </w:r>
            <w:r w:rsidR="0000479A">
              <w:rPr>
                <w:sz w:val="22"/>
                <w:szCs w:val="22"/>
              </w:rPr>
              <w:t xml:space="preserve">Barnardo’s </w:t>
            </w:r>
            <w:r w:rsidR="00E641D7">
              <w:rPr>
                <w:sz w:val="22"/>
                <w:szCs w:val="22"/>
              </w:rPr>
              <w:t>HR Management System</w:t>
            </w:r>
            <w:r w:rsidR="0000479A">
              <w:rPr>
                <w:sz w:val="22"/>
                <w:szCs w:val="22"/>
              </w:rPr>
              <w:t xml:space="preserve">. </w:t>
            </w:r>
          </w:p>
          <w:p w14:paraId="3D670DCE" w14:textId="77777777" w:rsidR="005E6E5A" w:rsidRDefault="005E6E5A" w:rsidP="002A25D1">
            <w:pPr>
              <w:rPr>
                <w:sz w:val="22"/>
                <w:szCs w:val="22"/>
              </w:rPr>
            </w:pPr>
          </w:p>
          <w:p w14:paraId="7F819804" w14:textId="35897712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records in writing the key points from the meeting and copies this to the employee and their personal file.</w:t>
            </w:r>
          </w:p>
          <w:p w14:paraId="75A9C235" w14:textId="0A8FB9DA" w:rsidR="005E6E5A" w:rsidRDefault="005E6E5A" w:rsidP="002A25D1">
            <w:pPr>
              <w:rPr>
                <w:sz w:val="22"/>
                <w:szCs w:val="22"/>
              </w:rPr>
            </w:pPr>
          </w:p>
          <w:p w14:paraId="74A5C42C" w14:textId="04320B3E" w:rsidR="00280485" w:rsidRPr="00280485" w:rsidRDefault="00280485" w:rsidP="00280485">
            <w:pPr>
              <w:rPr>
                <w:sz w:val="22"/>
                <w:szCs w:val="22"/>
              </w:rPr>
            </w:pPr>
            <w:r w:rsidRPr="00280485">
              <w:rPr>
                <w:sz w:val="22"/>
                <w:szCs w:val="22"/>
              </w:rPr>
              <w:t>Manager hold</w:t>
            </w:r>
            <w:r w:rsidR="0072283B">
              <w:rPr>
                <w:sz w:val="22"/>
                <w:szCs w:val="22"/>
              </w:rPr>
              <w:t>s</w:t>
            </w:r>
            <w:r w:rsidRPr="00280485">
              <w:rPr>
                <w:sz w:val="22"/>
                <w:szCs w:val="22"/>
              </w:rPr>
              <w:t xml:space="preserve"> a final probationary review meeting prior to the end of the extension, where it will be decided whether to confirm the employee in post or end their employment</w:t>
            </w:r>
            <w:r>
              <w:rPr>
                <w:sz w:val="22"/>
                <w:szCs w:val="22"/>
              </w:rPr>
              <w:t>.</w:t>
            </w:r>
          </w:p>
          <w:p w14:paraId="46D98C7A" w14:textId="4D1D35CC" w:rsidR="00280485" w:rsidRPr="00B13133" w:rsidRDefault="00280485" w:rsidP="002A25D1">
            <w:pPr>
              <w:rPr>
                <w:sz w:val="22"/>
                <w:szCs w:val="22"/>
              </w:rPr>
            </w:pPr>
          </w:p>
          <w:p w14:paraId="29B1D375" w14:textId="77777777" w:rsidR="002A25D1" w:rsidRPr="00B13133" w:rsidRDefault="002A25D1" w:rsidP="002A25D1">
            <w:pPr>
              <w:pStyle w:val="Heading3"/>
              <w:spacing w:before="0"/>
              <w:rPr>
                <w:rStyle w:val="Emphasis"/>
                <w:bCs/>
                <w:iCs w:val="0"/>
                <w:color w:val="auto"/>
                <w:sz w:val="22"/>
              </w:rPr>
            </w:pPr>
            <w:r w:rsidRPr="00B13133">
              <w:rPr>
                <w:rStyle w:val="Emphasis"/>
                <w:bCs/>
                <w:iCs w:val="0"/>
                <w:color w:val="auto"/>
                <w:sz w:val="22"/>
              </w:rPr>
              <w:t>(B) Possible non-confirmation in post meeting:</w:t>
            </w:r>
          </w:p>
          <w:p w14:paraId="2609E8AD" w14:textId="7A5A41CE" w:rsidR="002A25D1" w:rsidRDefault="002A25D1" w:rsidP="002A25D1">
            <w:pPr>
              <w:rPr>
                <w:sz w:val="22"/>
                <w:szCs w:val="22"/>
              </w:rPr>
            </w:pPr>
            <w:r w:rsidRPr="00B13133">
              <w:rPr>
                <w:sz w:val="22"/>
                <w:szCs w:val="22"/>
              </w:rPr>
              <w:t>Manager </w:t>
            </w:r>
            <w:r w:rsidRPr="00EF6C6F">
              <w:rPr>
                <w:sz w:val="22"/>
                <w:szCs w:val="22"/>
              </w:rPr>
              <w:t>writes to the employee inviting them to a formal meeting, giving them reasonable notice of the meeting</w:t>
            </w:r>
            <w:r w:rsidR="00A558B3">
              <w:rPr>
                <w:sz w:val="22"/>
                <w:szCs w:val="22"/>
              </w:rPr>
              <w:t xml:space="preserve">, </w:t>
            </w:r>
            <w:r w:rsidR="00EE20EE">
              <w:rPr>
                <w:sz w:val="22"/>
                <w:szCs w:val="22"/>
              </w:rPr>
              <w:t xml:space="preserve">and </w:t>
            </w:r>
            <w:r w:rsidR="00A558B3">
              <w:rPr>
                <w:sz w:val="22"/>
                <w:szCs w:val="22"/>
              </w:rPr>
              <w:t xml:space="preserve">advises of meeting format </w:t>
            </w:r>
            <w:r w:rsidR="0083238F">
              <w:rPr>
                <w:sz w:val="22"/>
                <w:szCs w:val="22"/>
              </w:rPr>
              <w:t>i.e.,</w:t>
            </w:r>
            <w:r w:rsidR="00A558B3">
              <w:rPr>
                <w:sz w:val="22"/>
                <w:szCs w:val="22"/>
              </w:rPr>
              <w:t xml:space="preserve"> in person or virtual </w:t>
            </w:r>
            <w:r w:rsidRPr="00EF6C6F">
              <w:rPr>
                <w:sz w:val="22"/>
                <w:szCs w:val="22"/>
              </w:rPr>
              <w:t>and inform</w:t>
            </w:r>
            <w:r w:rsidR="00A558B3">
              <w:rPr>
                <w:sz w:val="22"/>
                <w:szCs w:val="22"/>
              </w:rPr>
              <w:t>s</w:t>
            </w:r>
            <w:r w:rsidRPr="00EF6C6F">
              <w:rPr>
                <w:sz w:val="22"/>
                <w:szCs w:val="22"/>
              </w:rPr>
              <w:t xml:space="preserve"> them of their entitlement to request to be accompanied by a UNISON/other trade union representative or a Barnardo's colleague.  The letter gives details of the reasons for the meeting and explains the possible outcomes.</w:t>
            </w:r>
          </w:p>
          <w:p w14:paraId="1EAF7F45" w14:textId="77777777" w:rsidR="00A558B3" w:rsidRPr="00EF6C6F" w:rsidRDefault="00A558B3" w:rsidP="002A25D1">
            <w:pPr>
              <w:rPr>
                <w:sz w:val="22"/>
                <w:szCs w:val="22"/>
              </w:rPr>
            </w:pPr>
          </w:p>
          <w:p w14:paraId="652FFF06" w14:textId="417E692C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During the meeting, manager goes through the information gathered and </w:t>
            </w:r>
            <w:r>
              <w:rPr>
                <w:sz w:val="22"/>
                <w:szCs w:val="22"/>
              </w:rPr>
              <w:t>explains where the employee is not meeting the required standards</w:t>
            </w:r>
            <w:r w:rsidRPr="00EF6C6F">
              <w:rPr>
                <w:sz w:val="22"/>
                <w:szCs w:val="22"/>
              </w:rPr>
              <w:t xml:space="preserve">.  </w:t>
            </w:r>
            <w:r w:rsidRPr="001E1572">
              <w:rPr>
                <w:sz w:val="22"/>
                <w:szCs w:val="22"/>
              </w:rPr>
              <w:t xml:space="preserve">The employee will be given an opportunity to respond to </w:t>
            </w:r>
            <w:r>
              <w:rPr>
                <w:sz w:val="22"/>
                <w:szCs w:val="22"/>
              </w:rPr>
              <w:t>these concerns</w:t>
            </w:r>
            <w:r w:rsidRPr="001E1572">
              <w:rPr>
                <w:sz w:val="22"/>
                <w:szCs w:val="22"/>
              </w:rPr>
              <w:t xml:space="preserve"> and </w:t>
            </w:r>
            <w:r w:rsidR="00DE2270">
              <w:rPr>
                <w:sz w:val="22"/>
                <w:szCs w:val="22"/>
              </w:rPr>
              <w:t xml:space="preserve">fully state their case. </w:t>
            </w:r>
          </w:p>
          <w:p w14:paraId="0E63076E" w14:textId="77777777" w:rsidR="008402B2" w:rsidRPr="00EF6C6F" w:rsidRDefault="008402B2" w:rsidP="002A25D1">
            <w:pPr>
              <w:rPr>
                <w:sz w:val="22"/>
                <w:szCs w:val="22"/>
              </w:rPr>
            </w:pPr>
          </w:p>
          <w:p w14:paraId="7D5782A3" w14:textId="1DB500A5" w:rsidR="002A25D1" w:rsidRDefault="002A25D1" w:rsidP="002A25D1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adjourns the meeting to consider and decide </w:t>
            </w:r>
            <w:r>
              <w:rPr>
                <w:sz w:val="22"/>
                <w:szCs w:val="22"/>
              </w:rPr>
              <w:t>the appropriate outcome</w:t>
            </w:r>
            <w:r w:rsidR="008402B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This may be:</w:t>
            </w:r>
          </w:p>
          <w:p w14:paraId="6BA88054" w14:textId="77777777" w:rsidR="008402B2" w:rsidRDefault="008402B2" w:rsidP="002A25D1">
            <w:pPr>
              <w:rPr>
                <w:sz w:val="22"/>
                <w:szCs w:val="22"/>
              </w:rPr>
            </w:pPr>
          </w:p>
          <w:p w14:paraId="213B91EA" w14:textId="76542799" w:rsidR="002A25D1" w:rsidRDefault="002A25D1" w:rsidP="00AE5390">
            <w:pPr>
              <w:pStyle w:val="ListParagraph"/>
              <w:numPr>
                <w:ilvl w:val="0"/>
                <w:numId w:val="39"/>
              </w:numPr>
              <w:ind w:left="1169" w:hanging="449"/>
              <w:rPr>
                <w:sz w:val="22"/>
                <w:szCs w:val="22"/>
              </w:rPr>
            </w:pPr>
            <w:r w:rsidRPr="00AE5390">
              <w:rPr>
                <w:sz w:val="22"/>
                <w:szCs w:val="22"/>
              </w:rPr>
              <w:t>take no further action and confirm the employee in post;</w:t>
            </w:r>
          </w:p>
          <w:p w14:paraId="05598AAA" w14:textId="5D13F7F9" w:rsidR="002A25D1" w:rsidRPr="00AE5390" w:rsidRDefault="002A25D1" w:rsidP="00AE5390">
            <w:pPr>
              <w:pStyle w:val="ListParagraph"/>
              <w:numPr>
                <w:ilvl w:val="0"/>
                <w:numId w:val="39"/>
              </w:numPr>
              <w:ind w:left="1169" w:hanging="449"/>
              <w:rPr>
                <w:sz w:val="22"/>
                <w:szCs w:val="22"/>
              </w:rPr>
            </w:pPr>
            <w:r w:rsidRPr="00AE5390">
              <w:rPr>
                <w:sz w:val="22"/>
                <w:szCs w:val="22"/>
              </w:rPr>
              <w:t>extend the PP if they consider that allowing for a period of further support/</w:t>
            </w:r>
            <w:r w:rsidR="008402B2" w:rsidRPr="00AE5390">
              <w:rPr>
                <w:sz w:val="22"/>
                <w:szCs w:val="22"/>
              </w:rPr>
              <w:t>learning/</w:t>
            </w:r>
            <w:r w:rsidRPr="00AE5390">
              <w:rPr>
                <w:sz w:val="22"/>
                <w:szCs w:val="22"/>
              </w:rPr>
              <w:t>alternative solutions</w:t>
            </w:r>
            <w:r w:rsidR="00AB6FFE" w:rsidRPr="00AE5390">
              <w:rPr>
                <w:sz w:val="22"/>
                <w:szCs w:val="22"/>
              </w:rPr>
              <w:t>/appropriate reasonable adjustments</w:t>
            </w:r>
            <w:r w:rsidRPr="00AE5390">
              <w:rPr>
                <w:sz w:val="22"/>
                <w:szCs w:val="22"/>
              </w:rPr>
              <w:t xml:space="preserve"> might rectify the </w:t>
            </w:r>
            <w:r w:rsidR="008402B2" w:rsidRPr="00AE5390">
              <w:rPr>
                <w:sz w:val="22"/>
                <w:szCs w:val="22"/>
              </w:rPr>
              <w:t xml:space="preserve">situation and </w:t>
            </w:r>
            <w:r w:rsidR="00B65C18">
              <w:rPr>
                <w:sz w:val="22"/>
                <w:szCs w:val="22"/>
              </w:rPr>
              <w:t xml:space="preserve">enable </w:t>
            </w:r>
            <w:r w:rsidR="008402B2" w:rsidRPr="00AE5390">
              <w:rPr>
                <w:sz w:val="22"/>
                <w:szCs w:val="22"/>
              </w:rPr>
              <w:t>the employee to meet the required standards</w:t>
            </w:r>
            <w:r w:rsidRPr="00AE5390">
              <w:rPr>
                <w:sz w:val="22"/>
                <w:szCs w:val="22"/>
              </w:rPr>
              <w:t>;</w:t>
            </w:r>
          </w:p>
          <w:p w14:paraId="383246CB" w14:textId="0BDBB0E9" w:rsidR="008E7D09" w:rsidRPr="00922B7F" w:rsidRDefault="00AB6FFE" w:rsidP="00AE5390">
            <w:pPr>
              <w:pStyle w:val="ListParagraph"/>
              <w:numPr>
                <w:ilvl w:val="0"/>
                <w:numId w:val="39"/>
              </w:numPr>
              <w:ind w:left="1169" w:hanging="449"/>
              <w:rPr>
                <w:sz w:val="22"/>
                <w:szCs w:val="22"/>
              </w:rPr>
            </w:pPr>
            <w:r w:rsidRPr="00AE5390">
              <w:rPr>
                <w:sz w:val="22"/>
                <w:szCs w:val="22"/>
              </w:rPr>
              <w:t>After consideration to ii</w:t>
            </w:r>
            <w:r w:rsidR="00687523">
              <w:rPr>
                <w:sz w:val="22"/>
                <w:szCs w:val="22"/>
              </w:rPr>
              <w:t>.</w:t>
            </w:r>
            <w:r w:rsidRPr="001D55AA">
              <w:rPr>
                <w:sz w:val="22"/>
                <w:szCs w:val="22"/>
              </w:rPr>
              <w:t xml:space="preserve"> above, </w:t>
            </w:r>
            <w:r w:rsidR="008E7D09" w:rsidRPr="001D55AA">
              <w:rPr>
                <w:sz w:val="22"/>
                <w:szCs w:val="22"/>
              </w:rPr>
              <w:t>end the employment contract</w:t>
            </w:r>
            <w:r w:rsidR="00687523">
              <w:rPr>
                <w:sz w:val="22"/>
                <w:szCs w:val="22"/>
              </w:rPr>
              <w:t>.</w:t>
            </w:r>
          </w:p>
          <w:p w14:paraId="6AA4120B" w14:textId="77777777" w:rsidR="004E6600" w:rsidRPr="00792403" w:rsidRDefault="004E6600" w:rsidP="00AE5390">
            <w:pPr>
              <w:ind w:left="1169" w:hanging="449"/>
              <w:rPr>
                <w:sz w:val="22"/>
                <w:szCs w:val="22"/>
              </w:rPr>
            </w:pPr>
          </w:p>
          <w:p w14:paraId="65C62E7E" w14:textId="2E31D22A" w:rsidR="002A25D1" w:rsidRDefault="002A25D1" w:rsidP="00A80257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Once the manager has made their decision, they reconvene the meeting to inform the employee</w:t>
            </w:r>
            <w:r w:rsidR="00D710AD">
              <w:rPr>
                <w:sz w:val="22"/>
                <w:szCs w:val="22"/>
              </w:rPr>
              <w:t xml:space="preserve"> of the outcome</w:t>
            </w:r>
            <w:r w:rsidRPr="00EF6C6F">
              <w:rPr>
                <w:sz w:val="22"/>
                <w:szCs w:val="22"/>
              </w:rPr>
              <w:t>.</w:t>
            </w:r>
          </w:p>
          <w:p w14:paraId="48586701" w14:textId="77777777" w:rsidR="001A4AAA" w:rsidRPr="00EF6C6F" w:rsidRDefault="001A4AAA" w:rsidP="00A80257">
            <w:pPr>
              <w:rPr>
                <w:sz w:val="22"/>
                <w:szCs w:val="22"/>
              </w:rPr>
            </w:pPr>
          </w:p>
          <w:p w14:paraId="7EF29726" w14:textId="3EF46FD5" w:rsidR="002A25D1" w:rsidRDefault="002A25D1" w:rsidP="00A80257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If the decision is to dismiss the employee, manager informs the employee of the reasons for this decision, of their 1 week notice period and the</w:t>
            </w:r>
            <w:r w:rsidR="008340BC">
              <w:rPr>
                <w:sz w:val="22"/>
                <w:szCs w:val="22"/>
              </w:rPr>
              <w:t xml:space="preserve"> employee’s right of</w:t>
            </w:r>
            <w:r w:rsidRPr="00EF6C6F">
              <w:rPr>
                <w:sz w:val="22"/>
                <w:szCs w:val="22"/>
              </w:rPr>
              <w:t xml:space="preserve"> </w:t>
            </w:r>
            <w:r w:rsidR="002E5BC7" w:rsidRPr="00EF6C6F">
              <w:rPr>
                <w:sz w:val="22"/>
                <w:szCs w:val="22"/>
              </w:rPr>
              <w:t>appeal and</w:t>
            </w:r>
            <w:r w:rsidRPr="00EF6C6F">
              <w:rPr>
                <w:sz w:val="22"/>
                <w:szCs w:val="22"/>
              </w:rPr>
              <w:t xml:space="preserve"> confirms this in writing to the employee</w:t>
            </w:r>
            <w:r w:rsidR="00A67C50">
              <w:rPr>
                <w:sz w:val="22"/>
                <w:szCs w:val="22"/>
              </w:rPr>
              <w:t xml:space="preserve"> following the meeting</w:t>
            </w:r>
            <w:r w:rsidR="00A80257">
              <w:rPr>
                <w:sz w:val="22"/>
                <w:szCs w:val="22"/>
              </w:rPr>
              <w:t>.</w:t>
            </w:r>
          </w:p>
          <w:p w14:paraId="42731E10" w14:textId="77777777" w:rsidR="00A80257" w:rsidRPr="00277157" w:rsidRDefault="00A80257" w:rsidP="00A80257">
            <w:pPr>
              <w:rPr>
                <w:sz w:val="22"/>
                <w:szCs w:val="22"/>
              </w:rPr>
            </w:pPr>
          </w:p>
          <w:p w14:paraId="07E8D309" w14:textId="67134E1F" w:rsidR="00A80257" w:rsidRPr="00792403" w:rsidRDefault="001B1A7C" w:rsidP="00792403">
            <w:pPr>
              <w:rPr>
                <w:b/>
                <w:bCs/>
                <w:sz w:val="22"/>
                <w:szCs w:val="22"/>
              </w:rPr>
            </w:pPr>
            <w:r w:rsidRPr="00792403">
              <w:rPr>
                <w:b/>
                <w:bCs/>
                <w:sz w:val="22"/>
                <w:szCs w:val="22"/>
              </w:rPr>
              <w:t>Appeal</w:t>
            </w:r>
          </w:p>
          <w:p w14:paraId="4021D99E" w14:textId="116A5BE1" w:rsidR="000354D8" w:rsidRDefault="00FE0340" w:rsidP="00A80257">
            <w:pPr>
              <w:rPr>
                <w:iCs/>
                <w:sz w:val="22"/>
                <w:szCs w:val="22"/>
              </w:rPr>
            </w:pPr>
            <w:r w:rsidRPr="00792403">
              <w:rPr>
                <w:sz w:val="22"/>
                <w:szCs w:val="22"/>
              </w:rPr>
              <w:t xml:space="preserve">An employee may </w:t>
            </w:r>
            <w:r w:rsidR="00691ED9" w:rsidRPr="00792403">
              <w:rPr>
                <w:sz w:val="22"/>
                <w:szCs w:val="22"/>
              </w:rPr>
              <w:t xml:space="preserve">wish to lodge an </w:t>
            </w:r>
            <w:r w:rsidRPr="00792403">
              <w:rPr>
                <w:sz w:val="22"/>
                <w:szCs w:val="22"/>
              </w:rPr>
              <w:t>appeal against the</w:t>
            </w:r>
            <w:r w:rsidR="00A76F96">
              <w:rPr>
                <w:sz w:val="22"/>
                <w:szCs w:val="22"/>
              </w:rPr>
              <w:t xml:space="preserve"> non-confirmation in post decision by writing to </w:t>
            </w:r>
            <w:r w:rsidR="00691ED9" w:rsidRPr="00792403">
              <w:rPr>
                <w:sz w:val="22"/>
                <w:szCs w:val="22"/>
              </w:rPr>
              <w:t xml:space="preserve">the nominated impartial manager stating the </w:t>
            </w:r>
            <w:r w:rsidRPr="00792403">
              <w:rPr>
                <w:sz w:val="22"/>
                <w:szCs w:val="22"/>
              </w:rPr>
              <w:t>grounds of appeal</w:t>
            </w:r>
            <w:r w:rsidR="00A80257">
              <w:rPr>
                <w:iCs/>
                <w:sz w:val="22"/>
                <w:szCs w:val="22"/>
              </w:rPr>
              <w:t xml:space="preserve">, </w:t>
            </w:r>
            <w:r w:rsidRPr="00792403">
              <w:rPr>
                <w:sz w:val="22"/>
                <w:szCs w:val="22"/>
              </w:rPr>
              <w:t xml:space="preserve">and the reasons for those grounds, within five working days of receipt of the letter confirming the outcome. </w:t>
            </w:r>
          </w:p>
          <w:p w14:paraId="13F60701" w14:textId="77777777" w:rsidR="000354D8" w:rsidRDefault="000354D8" w:rsidP="00A80257">
            <w:pPr>
              <w:rPr>
                <w:iCs/>
                <w:sz w:val="22"/>
                <w:szCs w:val="22"/>
              </w:rPr>
            </w:pPr>
          </w:p>
          <w:p w14:paraId="3B9D84EA" w14:textId="699F53A8" w:rsidR="002A25D1" w:rsidRPr="00687523" w:rsidRDefault="002A25D1" w:rsidP="00A80257">
            <w:pPr>
              <w:rPr>
                <w:iCs/>
                <w:sz w:val="22"/>
                <w:szCs w:val="22"/>
              </w:rPr>
            </w:pPr>
            <w:r w:rsidRPr="00A80257">
              <w:rPr>
                <w:sz w:val="22"/>
                <w:szCs w:val="22"/>
              </w:rPr>
              <w:t>The Appeal Manager writes to </w:t>
            </w:r>
            <w:r w:rsidRPr="005B53D1">
              <w:rPr>
                <w:iCs/>
                <w:sz w:val="22"/>
                <w:szCs w:val="22"/>
              </w:rPr>
              <w:t>the employee inviting them to the appeal meeting, giving them reasonable notice of the meeting</w:t>
            </w:r>
            <w:r w:rsidR="007F6FBC">
              <w:rPr>
                <w:iCs/>
                <w:sz w:val="22"/>
                <w:szCs w:val="22"/>
              </w:rPr>
              <w:t xml:space="preserve"> </w:t>
            </w:r>
            <w:r w:rsidRPr="005B53D1">
              <w:rPr>
                <w:iCs/>
                <w:sz w:val="22"/>
                <w:szCs w:val="22"/>
              </w:rPr>
              <w:t xml:space="preserve">and informing </w:t>
            </w:r>
            <w:r w:rsidRPr="00687523">
              <w:rPr>
                <w:iCs/>
                <w:sz w:val="22"/>
                <w:szCs w:val="22"/>
              </w:rPr>
              <w:t xml:space="preserve">them of their entitlement to request to be accompanied by a UNISON/other trade union representative or a Barnardo's colleague.  </w:t>
            </w:r>
          </w:p>
          <w:p w14:paraId="3A29F529" w14:textId="77777777" w:rsidR="00A80257" w:rsidRPr="00687523" w:rsidRDefault="00A80257" w:rsidP="00792403">
            <w:pPr>
              <w:rPr>
                <w:iCs/>
                <w:sz w:val="22"/>
                <w:szCs w:val="22"/>
              </w:rPr>
            </w:pPr>
          </w:p>
          <w:p w14:paraId="2500E571" w14:textId="5D5363C9" w:rsidR="002A25D1" w:rsidRPr="00687523" w:rsidRDefault="002A25D1" w:rsidP="00A80257">
            <w:pPr>
              <w:rPr>
                <w:iCs/>
                <w:sz w:val="22"/>
                <w:szCs w:val="22"/>
              </w:rPr>
            </w:pPr>
            <w:r w:rsidRPr="00687523">
              <w:rPr>
                <w:iCs/>
                <w:sz w:val="22"/>
                <w:szCs w:val="22"/>
              </w:rPr>
              <w:lastRenderedPageBreak/>
              <w:t xml:space="preserve">The Appeal Manager </w:t>
            </w:r>
            <w:r w:rsidR="005B4F93" w:rsidRPr="00687523">
              <w:rPr>
                <w:iCs/>
                <w:sz w:val="22"/>
                <w:szCs w:val="22"/>
              </w:rPr>
              <w:t>will hear</w:t>
            </w:r>
            <w:r w:rsidR="007F6FBC" w:rsidRPr="00687523">
              <w:rPr>
                <w:iCs/>
                <w:sz w:val="22"/>
                <w:szCs w:val="22"/>
              </w:rPr>
              <w:t xml:space="preserve"> and fully explore the </w:t>
            </w:r>
            <w:r w:rsidR="005B4F93" w:rsidRPr="00687523">
              <w:rPr>
                <w:iCs/>
                <w:sz w:val="22"/>
                <w:szCs w:val="22"/>
              </w:rPr>
              <w:t>grounds of the appeal</w:t>
            </w:r>
            <w:r w:rsidR="007F6FBC" w:rsidRPr="00687523">
              <w:rPr>
                <w:iCs/>
                <w:sz w:val="22"/>
                <w:szCs w:val="22"/>
              </w:rPr>
              <w:t>.</w:t>
            </w:r>
            <w:r w:rsidR="005B4F93" w:rsidRPr="00687523">
              <w:rPr>
                <w:iCs/>
                <w:sz w:val="22"/>
                <w:szCs w:val="22"/>
              </w:rPr>
              <w:t xml:space="preserve">  The </w:t>
            </w:r>
            <w:r w:rsidR="005B53D1" w:rsidRPr="00687523">
              <w:rPr>
                <w:iCs/>
                <w:sz w:val="22"/>
                <w:szCs w:val="22"/>
              </w:rPr>
              <w:t>appeal</w:t>
            </w:r>
            <w:r w:rsidR="005B4F93" w:rsidRPr="00687523">
              <w:rPr>
                <w:iCs/>
                <w:sz w:val="22"/>
                <w:szCs w:val="22"/>
              </w:rPr>
              <w:t xml:space="preserve"> meeting will then be adjourned to consider </w:t>
            </w:r>
            <w:r w:rsidRPr="00687523">
              <w:rPr>
                <w:iCs/>
                <w:sz w:val="22"/>
                <w:szCs w:val="22"/>
              </w:rPr>
              <w:t>and decide the appropriate outcome.</w:t>
            </w:r>
          </w:p>
          <w:p w14:paraId="64590D30" w14:textId="40B5C533" w:rsidR="000354D8" w:rsidRPr="00687523" w:rsidRDefault="000354D8" w:rsidP="00A80257">
            <w:pPr>
              <w:rPr>
                <w:iCs/>
                <w:sz w:val="22"/>
                <w:szCs w:val="22"/>
              </w:rPr>
            </w:pPr>
          </w:p>
          <w:p w14:paraId="19BDDBE1" w14:textId="53199DC6" w:rsidR="00A80257" w:rsidRPr="00687523" w:rsidRDefault="000354D8" w:rsidP="00792403">
            <w:pPr>
              <w:ind w:left="34" w:hanging="34"/>
              <w:rPr>
                <w:rFonts w:cs="Arial"/>
                <w:sz w:val="22"/>
                <w:szCs w:val="22"/>
              </w:rPr>
            </w:pPr>
            <w:r w:rsidRPr="00922B7F">
              <w:rPr>
                <w:sz w:val="22"/>
                <w:szCs w:val="22"/>
              </w:rPr>
              <w:t xml:space="preserve">The outcome of the appeal </w:t>
            </w:r>
            <w:r w:rsidR="007F6FBC" w:rsidRPr="00687523">
              <w:rPr>
                <w:sz w:val="22"/>
                <w:szCs w:val="22"/>
              </w:rPr>
              <w:t>meeting</w:t>
            </w:r>
            <w:r w:rsidRPr="001F0240">
              <w:rPr>
                <w:sz w:val="22"/>
                <w:szCs w:val="22"/>
              </w:rPr>
              <w:t xml:space="preserve"> will either be confirmed on the day (and then in writing) or confirmed in writing </w:t>
            </w:r>
            <w:r w:rsidR="005B53D1" w:rsidRPr="001F0240">
              <w:rPr>
                <w:sz w:val="22"/>
                <w:szCs w:val="22"/>
              </w:rPr>
              <w:t xml:space="preserve">to the employee </w:t>
            </w:r>
            <w:r w:rsidRPr="001F0240">
              <w:rPr>
                <w:sz w:val="22"/>
                <w:szCs w:val="22"/>
              </w:rPr>
              <w:t xml:space="preserve">following the meeting, usually within five working days, unless otherwise agreed. </w:t>
            </w:r>
            <w:r w:rsidR="005B53D1" w:rsidRPr="001F0240">
              <w:rPr>
                <w:sz w:val="22"/>
                <w:szCs w:val="22"/>
              </w:rPr>
              <w:t>A copy of this written record will be retained on the employee’s personal file.  The decision concludes the appeal stage</w:t>
            </w:r>
            <w:r w:rsidR="005B53D1" w:rsidRPr="00687523">
              <w:rPr>
                <w:rStyle w:val="Emphasis"/>
                <w:b w:val="0"/>
                <w:sz w:val="22"/>
                <w:szCs w:val="22"/>
              </w:rPr>
              <w:t xml:space="preserve">. </w:t>
            </w:r>
          </w:p>
          <w:p w14:paraId="478F380D" w14:textId="77777777" w:rsidR="005B53D1" w:rsidRPr="00687523" w:rsidRDefault="005B53D1" w:rsidP="00792403">
            <w:pPr>
              <w:ind w:left="34" w:hanging="34"/>
              <w:rPr>
                <w:sz w:val="22"/>
                <w:szCs w:val="22"/>
              </w:rPr>
            </w:pPr>
          </w:p>
          <w:p w14:paraId="712520A1" w14:textId="0E7858FE" w:rsidR="002A25D1" w:rsidRPr="005B53D1" w:rsidRDefault="00D710AD" w:rsidP="00A80257">
            <w:pPr>
              <w:rPr>
                <w:sz w:val="22"/>
                <w:szCs w:val="22"/>
              </w:rPr>
            </w:pPr>
            <w:r w:rsidRPr="00687523">
              <w:rPr>
                <w:sz w:val="22"/>
                <w:szCs w:val="22"/>
              </w:rPr>
              <w:t>People Team</w:t>
            </w:r>
            <w:r w:rsidR="002A25D1" w:rsidRPr="00687523">
              <w:rPr>
                <w:sz w:val="22"/>
                <w:szCs w:val="22"/>
              </w:rPr>
              <w:t xml:space="preserve"> updates employee record on </w:t>
            </w:r>
            <w:r w:rsidR="00A80257" w:rsidRPr="00687523">
              <w:rPr>
                <w:sz w:val="22"/>
                <w:szCs w:val="22"/>
              </w:rPr>
              <w:t>Barnardo’s HR</w:t>
            </w:r>
            <w:r w:rsidR="001351EC">
              <w:rPr>
                <w:sz w:val="22"/>
                <w:szCs w:val="22"/>
              </w:rPr>
              <w:t xml:space="preserve"> Management</w:t>
            </w:r>
            <w:r w:rsidR="00A80257" w:rsidRPr="00687523">
              <w:rPr>
                <w:sz w:val="22"/>
                <w:szCs w:val="22"/>
              </w:rPr>
              <w:t xml:space="preserve"> system</w:t>
            </w:r>
            <w:r w:rsidR="00A80257" w:rsidRPr="005B53D1">
              <w:rPr>
                <w:sz w:val="22"/>
                <w:szCs w:val="22"/>
              </w:rPr>
              <w:t>.</w:t>
            </w:r>
          </w:p>
          <w:p w14:paraId="38966B15" w14:textId="77777777" w:rsidR="00A80257" w:rsidRPr="005B53D1" w:rsidRDefault="00A80257" w:rsidP="00792403">
            <w:pPr>
              <w:rPr>
                <w:sz w:val="22"/>
                <w:szCs w:val="22"/>
              </w:rPr>
            </w:pPr>
          </w:p>
          <w:p w14:paraId="129566F1" w14:textId="3AEFEB5F" w:rsidR="009C4109" w:rsidRDefault="009C4109" w:rsidP="009C4109">
            <w:pPr>
              <w:pStyle w:val="Heading3"/>
              <w:rPr>
                <w:rStyle w:val="Emphasis"/>
                <w:bCs/>
                <w:iCs w:val="0"/>
                <w:color w:val="auto"/>
                <w:sz w:val="22"/>
              </w:rPr>
            </w:pPr>
            <w:r w:rsidRPr="00F65F35">
              <w:rPr>
                <w:rStyle w:val="Emphasis"/>
                <w:bCs/>
                <w:color w:val="auto"/>
              </w:rPr>
              <w:t>1.</w:t>
            </w:r>
            <w:r w:rsidR="00A653B8">
              <w:rPr>
                <w:rStyle w:val="Emphasis"/>
                <w:bCs/>
                <w:color w:val="auto"/>
              </w:rPr>
              <w:t>3</w:t>
            </w:r>
            <w:r w:rsidRPr="00F65F35">
              <w:rPr>
                <w:rStyle w:val="Emphasis"/>
                <w:bCs/>
                <w:color w:val="auto"/>
              </w:rPr>
              <w:t xml:space="preserve"> </w:t>
            </w:r>
            <w:r w:rsidRPr="00F65F35">
              <w:rPr>
                <w:rStyle w:val="Emphasis"/>
                <w:bCs/>
                <w:iCs w:val="0"/>
                <w:color w:val="auto"/>
                <w:sz w:val="22"/>
              </w:rPr>
              <w:t xml:space="preserve">Successful </w:t>
            </w:r>
            <w:r w:rsidRPr="00A60941">
              <w:rPr>
                <w:rStyle w:val="Emphasis"/>
                <w:bCs/>
                <w:iCs w:val="0"/>
                <w:color w:val="auto"/>
                <w:sz w:val="22"/>
              </w:rPr>
              <w:t>completion of PP/TP:</w:t>
            </w:r>
          </w:p>
          <w:p w14:paraId="089AD4D7" w14:textId="77777777" w:rsidR="009C4109" w:rsidRDefault="009C4109" w:rsidP="009C4109">
            <w:pPr>
              <w:rPr>
                <w:sz w:val="22"/>
                <w:szCs w:val="22"/>
              </w:rPr>
            </w:pPr>
            <w:r w:rsidRPr="00A60941">
              <w:rPr>
                <w:sz w:val="22"/>
                <w:szCs w:val="22"/>
              </w:rPr>
              <w:t xml:space="preserve">Around 2 weeks before the end of </w:t>
            </w:r>
            <w:r>
              <w:rPr>
                <w:sz w:val="22"/>
                <w:szCs w:val="22"/>
              </w:rPr>
              <w:t xml:space="preserve">the </w:t>
            </w:r>
            <w:r w:rsidRPr="00EF6C6F">
              <w:rPr>
                <w:sz w:val="22"/>
                <w:szCs w:val="22"/>
              </w:rPr>
              <w:t>PP/TP</w:t>
            </w:r>
            <w:r>
              <w:rPr>
                <w:sz w:val="22"/>
                <w:szCs w:val="22"/>
              </w:rPr>
              <w:t xml:space="preserve"> (or extended PP) period</w:t>
            </w:r>
            <w:r w:rsidRPr="00EF6C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the manager </w:t>
            </w:r>
            <w:r w:rsidRPr="00EF6C6F">
              <w:rPr>
                <w:sz w:val="22"/>
                <w:szCs w:val="22"/>
              </w:rPr>
              <w:t xml:space="preserve">invites employee to final review meeting. </w:t>
            </w:r>
          </w:p>
          <w:p w14:paraId="36E3F2CE" w14:textId="77777777" w:rsidR="009C4109" w:rsidRPr="005F7E9C" w:rsidRDefault="009C4109" w:rsidP="009C41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Employee provides manager with copies of their induction mandatory </w:t>
            </w:r>
            <w:r>
              <w:rPr>
                <w:sz w:val="22"/>
                <w:szCs w:val="22"/>
              </w:rPr>
              <w:t>training</w:t>
            </w:r>
            <w:r w:rsidRPr="00EF6C6F">
              <w:rPr>
                <w:sz w:val="22"/>
                <w:szCs w:val="22"/>
              </w:rPr>
              <w:t xml:space="preserve"> certificates</w:t>
            </w:r>
            <w:r>
              <w:rPr>
                <w:sz w:val="22"/>
                <w:szCs w:val="22"/>
              </w:rPr>
              <w:t>.</w:t>
            </w:r>
          </w:p>
          <w:p w14:paraId="61E6933D" w14:textId="77777777" w:rsidR="009C4109" w:rsidRPr="00EF6C6F" w:rsidRDefault="009C4109" w:rsidP="009C41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Manager and employee note their </w:t>
            </w:r>
            <w:r>
              <w:rPr>
                <w:sz w:val="22"/>
                <w:szCs w:val="22"/>
              </w:rPr>
              <w:t xml:space="preserve">final </w:t>
            </w:r>
            <w:r w:rsidRPr="00EF6C6F">
              <w:rPr>
                <w:sz w:val="22"/>
                <w:szCs w:val="22"/>
              </w:rPr>
              <w:t>comments on the employee's P</w:t>
            </w:r>
            <w:r>
              <w:rPr>
                <w:sz w:val="22"/>
                <w:szCs w:val="22"/>
              </w:rPr>
              <w:t>robationary &amp; Transition Agreement form</w:t>
            </w:r>
            <w:r w:rsidRPr="00EF6C6F">
              <w:rPr>
                <w:sz w:val="22"/>
                <w:szCs w:val="22"/>
              </w:rPr>
              <w:t xml:space="preserve">, manager completes the sign-off section, gives the employee a copy, forwards a copy to their own line manager for sign-off, and ensures a copy is retained on the employee's </w:t>
            </w:r>
            <w:r>
              <w:rPr>
                <w:sz w:val="22"/>
                <w:szCs w:val="22"/>
              </w:rPr>
              <w:t xml:space="preserve">electronic staff </w:t>
            </w:r>
            <w:r w:rsidRPr="00EF6C6F">
              <w:rPr>
                <w:sz w:val="22"/>
                <w:szCs w:val="22"/>
              </w:rPr>
              <w:t>file.</w:t>
            </w:r>
          </w:p>
          <w:p w14:paraId="65AB7329" w14:textId="77777777" w:rsidR="009C4109" w:rsidRPr="00EF6C6F" w:rsidRDefault="009C4109" w:rsidP="009C41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Manager informs the employee that they have successfully completed their PP/TP, subject to final written confirmation.</w:t>
            </w:r>
          </w:p>
          <w:p w14:paraId="7D6DCA3A" w14:textId="77777777" w:rsidR="009C4109" w:rsidRDefault="009C4109" w:rsidP="009C4109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Manager/administrator updates employee record on </w:t>
            </w:r>
            <w:r>
              <w:rPr>
                <w:sz w:val="22"/>
                <w:szCs w:val="22"/>
              </w:rPr>
              <w:t xml:space="preserve">HR Management System </w:t>
            </w:r>
            <w:r w:rsidRPr="00EF6C6F">
              <w:rPr>
                <w:sz w:val="22"/>
                <w:szCs w:val="22"/>
              </w:rPr>
              <w:t>to signify successful completion of PP/TP.</w:t>
            </w:r>
          </w:p>
          <w:p w14:paraId="77F40735" w14:textId="77777777" w:rsidR="009C4109" w:rsidRPr="00EF6C6F" w:rsidRDefault="009C4109" w:rsidP="009C4109">
            <w:pPr>
              <w:rPr>
                <w:sz w:val="22"/>
                <w:szCs w:val="22"/>
              </w:rPr>
            </w:pPr>
          </w:p>
          <w:p w14:paraId="67C56B12" w14:textId="77777777" w:rsidR="009C4109" w:rsidRPr="00EF6C6F" w:rsidRDefault="009C4109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F6C6F">
              <w:rPr>
                <w:sz w:val="22"/>
                <w:szCs w:val="22"/>
              </w:rPr>
              <w:t>anager sends a copy of the P</w:t>
            </w:r>
            <w:r>
              <w:rPr>
                <w:sz w:val="22"/>
                <w:szCs w:val="22"/>
              </w:rPr>
              <w:t>robationary &amp; Transition Agreement form</w:t>
            </w:r>
            <w:r w:rsidRPr="00EF6C6F">
              <w:rPr>
                <w:sz w:val="22"/>
                <w:szCs w:val="22"/>
              </w:rPr>
              <w:t xml:space="preserve">, and sign-off form, together </w:t>
            </w:r>
            <w:r w:rsidRPr="006A09D1">
              <w:rPr>
                <w:sz w:val="22"/>
                <w:szCs w:val="22"/>
              </w:rPr>
              <w:t>with certificates to evidence completion of required induction learning, to their People Team.</w:t>
            </w:r>
          </w:p>
          <w:p w14:paraId="1BA98442" w14:textId="77777777" w:rsidR="009C4109" w:rsidRDefault="009C4109" w:rsidP="009C4109">
            <w:pPr>
              <w:rPr>
                <w:sz w:val="22"/>
                <w:szCs w:val="22"/>
              </w:rPr>
            </w:pPr>
          </w:p>
          <w:p w14:paraId="51438EF9" w14:textId="18EC7FAF" w:rsidR="009C4109" w:rsidRDefault="009C4109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PP the </w:t>
            </w:r>
            <w:r w:rsidR="009334A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eople Team</w:t>
            </w:r>
            <w:r w:rsidRPr="00EF6C6F">
              <w:rPr>
                <w:sz w:val="22"/>
                <w:szCs w:val="22"/>
              </w:rPr>
              <w:t xml:space="preserve"> write to employee to confirm successful completion</w:t>
            </w:r>
            <w:r>
              <w:rPr>
                <w:sz w:val="22"/>
                <w:szCs w:val="22"/>
              </w:rPr>
              <w:t>. For TP</w:t>
            </w:r>
            <w:r w:rsidRPr="00EF6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EF6C6F">
              <w:rPr>
                <w:sz w:val="22"/>
                <w:szCs w:val="22"/>
              </w:rPr>
              <w:t xml:space="preserve">manager (copy </w:t>
            </w:r>
            <w:r>
              <w:rPr>
                <w:sz w:val="22"/>
                <w:szCs w:val="22"/>
              </w:rPr>
              <w:t>People Team</w:t>
            </w:r>
            <w:r w:rsidRPr="00EF6C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or People Team </w:t>
            </w:r>
            <w:r w:rsidRPr="00EF6C6F">
              <w:rPr>
                <w:sz w:val="22"/>
                <w:szCs w:val="22"/>
              </w:rPr>
              <w:t>write to employee to confirm successful completion</w:t>
            </w:r>
            <w:r>
              <w:rPr>
                <w:sz w:val="22"/>
                <w:szCs w:val="22"/>
              </w:rPr>
              <w:t>.</w:t>
            </w:r>
          </w:p>
          <w:p w14:paraId="27D0CCBC" w14:textId="77777777" w:rsidR="009C4109" w:rsidRPr="00EF6C6F" w:rsidRDefault="009C4109" w:rsidP="009C4109">
            <w:pPr>
              <w:rPr>
                <w:sz w:val="22"/>
                <w:szCs w:val="22"/>
              </w:rPr>
            </w:pPr>
          </w:p>
          <w:p w14:paraId="104B1FD1" w14:textId="77777777" w:rsidR="009C4109" w:rsidRDefault="009C4109" w:rsidP="009C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Team</w:t>
            </w:r>
            <w:r w:rsidRPr="00EF6C6F">
              <w:rPr>
                <w:sz w:val="22"/>
                <w:szCs w:val="22"/>
              </w:rPr>
              <w:t xml:space="preserve"> records the </w:t>
            </w:r>
            <w:r>
              <w:rPr>
                <w:sz w:val="22"/>
                <w:szCs w:val="22"/>
              </w:rPr>
              <w:t xml:space="preserve">required information </w:t>
            </w:r>
            <w:r w:rsidRPr="00EF6C6F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HR Management System</w:t>
            </w:r>
            <w:r w:rsidRPr="00EF6C6F">
              <w:rPr>
                <w:sz w:val="22"/>
                <w:szCs w:val="22"/>
              </w:rPr>
              <w:t>.</w:t>
            </w:r>
          </w:p>
          <w:p w14:paraId="2D104E66" w14:textId="77777777" w:rsidR="009C4109" w:rsidRPr="00EF6C6F" w:rsidRDefault="009C4109" w:rsidP="009C4109">
            <w:pPr>
              <w:rPr>
                <w:sz w:val="22"/>
                <w:szCs w:val="22"/>
              </w:rPr>
            </w:pPr>
          </w:p>
          <w:p w14:paraId="4EE04E47" w14:textId="43EB2016" w:rsidR="009C4109" w:rsidRPr="00A60941" w:rsidRDefault="009C4109" w:rsidP="006D28AA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Manager agrees future objectives with employee at the appropriate time in the </w:t>
            </w:r>
            <w:r>
              <w:rPr>
                <w:sz w:val="22"/>
                <w:szCs w:val="22"/>
              </w:rPr>
              <w:t>personal development review (PDR) s</w:t>
            </w:r>
            <w:r w:rsidRPr="00EF6C6F">
              <w:rPr>
                <w:sz w:val="22"/>
                <w:szCs w:val="22"/>
              </w:rPr>
              <w:t>eason.  (Depending on the timing of the completion of the employee's PP/TP interim objectives may need to be agreed.)</w:t>
            </w:r>
            <w:r w:rsidR="009334A3">
              <w:rPr>
                <w:sz w:val="22"/>
                <w:szCs w:val="22"/>
              </w:rPr>
              <w:br/>
            </w:r>
          </w:p>
        </w:tc>
      </w:tr>
      <w:tr w:rsidR="00155350" w14:paraId="0F8709F2" w14:textId="77777777" w:rsidTr="00723CF2">
        <w:tc>
          <w:tcPr>
            <w:tcW w:w="10604" w:type="dxa"/>
            <w:gridSpan w:val="6"/>
            <w:shd w:val="clear" w:color="auto" w:fill="92D050"/>
          </w:tcPr>
          <w:p w14:paraId="5358C4E9" w14:textId="77777777" w:rsidR="00155350" w:rsidRPr="00155350" w:rsidRDefault="00155350" w:rsidP="002E452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Associated Legislation, Guidance, References and Documents</w:t>
            </w:r>
          </w:p>
        </w:tc>
      </w:tr>
      <w:tr w:rsidR="00155350" w14:paraId="116314E9" w14:textId="77777777" w:rsidTr="00723CF2">
        <w:tc>
          <w:tcPr>
            <w:tcW w:w="10604" w:type="dxa"/>
            <w:gridSpan w:val="6"/>
          </w:tcPr>
          <w:p w14:paraId="07B1685F" w14:textId="4A206A4B" w:rsidR="00AB774A" w:rsidRDefault="00AB774A" w:rsidP="0064182D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Probationary and Transition Periods Policy Statement</w:t>
            </w:r>
          </w:p>
          <w:p w14:paraId="45064BB2" w14:textId="4D1DB4E4" w:rsidR="007F1CC4" w:rsidRPr="007F1CC4" w:rsidRDefault="007F1CC4" w:rsidP="0064182D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7F1CC4">
              <w:rPr>
                <w:bCs/>
                <w:iCs/>
                <w:sz w:val="22"/>
                <w:szCs w:val="22"/>
              </w:rPr>
              <w:t xml:space="preserve">Probationary </w:t>
            </w:r>
            <w:r w:rsidR="0049258C">
              <w:rPr>
                <w:bCs/>
                <w:iCs/>
                <w:sz w:val="22"/>
                <w:szCs w:val="22"/>
              </w:rPr>
              <w:t>and Transition</w:t>
            </w:r>
            <w:r w:rsidR="00852ABC">
              <w:rPr>
                <w:bCs/>
                <w:iCs/>
                <w:sz w:val="22"/>
                <w:szCs w:val="22"/>
              </w:rPr>
              <w:t xml:space="preserve"> Agreement</w:t>
            </w:r>
            <w:r w:rsidR="0049258C">
              <w:rPr>
                <w:bCs/>
                <w:iCs/>
                <w:sz w:val="22"/>
                <w:szCs w:val="22"/>
              </w:rPr>
              <w:t xml:space="preserve"> </w:t>
            </w:r>
            <w:r w:rsidR="005E6E5A">
              <w:rPr>
                <w:bCs/>
                <w:iCs/>
                <w:sz w:val="22"/>
                <w:szCs w:val="22"/>
              </w:rPr>
              <w:t>f</w:t>
            </w:r>
            <w:r w:rsidRPr="007F1CC4">
              <w:rPr>
                <w:bCs/>
                <w:iCs/>
                <w:sz w:val="22"/>
                <w:szCs w:val="22"/>
              </w:rPr>
              <w:t>orm 2022/23 version</w:t>
            </w:r>
          </w:p>
          <w:p w14:paraId="2C414A91" w14:textId="7795D6FE" w:rsidR="0064182D" w:rsidRPr="007622D0" w:rsidRDefault="007F1CC4" w:rsidP="0064182D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Performance Development Review (PDR) Policy </w:t>
            </w:r>
            <w:r w:rsidR="00771AC5">
              <w:rPr>
                <w:sz w:val="22"/>
                <w:szCs w:val="22"/>
              </w:rPr>
              <w:t xml:space="preserve">1 April </w:t>
            </w:r>
            <w:r>
              <w:rPr>
                <w:sz w:val="22"/>
                <w:szCs w:val="22"/>
              </w:rPr>
              <w:t>2022</w:t>
            </w:r>
            <w:r w:rsidR="00175129">
              <w:rPr>
                <w:sz w:val="22"/>
                <w:szCs w:val="22"/>
              </w:rPr>
              <w:t xml:space="preserve"> </w:t>
            </w:r>
            <w:r w:rsidR="00771AC5">
              <w:rPr>
                <w:sz w:val="22"/>
                <w:szCs w:val="22"/>
              </w:rPr>
              <w:t>-</w:t>
            </w:r>
            <w:r w:rsidR="00175129">
              <w:rPr>
                <w:sz w:val="22"/>
                <w:szCs w:val="22"/>
              </w:rPr>
              <w:t xml:space="preserve"> </w:t>
            </w:r>
            <w:r w:rsidR="00771AC5">
              <w:rPr>
                <w:sz w:val="22"/>
                <w:szCs w:val="22"/>
              </w:rPr>
              <w:t>31 March 2023</w:t>
            </w:r>
            <w:r w:rsidR="0064182D" w:rsidRPr="007622D0">
              <w:rPr>
                <w:sz w:val="22"/>
                <w:szCs w:val="22"/>
              </w:rPr>
              <w:t xml:space="preserve"> </w:t>
            </w:r>
          </w:p>
          <w:p w14:paraId="6FB27BCE" w14:textId="5224E3F3" w:rsidR="007F1CC4" w:rsidRPr="007F1CC4" w:rsidRDefault="007F1CC4" w:rsidP="00155350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PDR Form </w:t>
            </w:r>
            <w:r w:rsidR="00771AC5">
              <w:rPr>
                <w:bCs/>
                <w:iCs/>
                <w:sz w:val="22"/>
                <w:szCs w:val="22"/>
              </w:rPr>
              <w:t xml:space="preserve">March </w:t>
            </w:r>
            <w:r>
              <w:rPr>
                <w:bCs/>
                <w:iCs/>
                <w:sz w:val="22"/>
                <w:szCs w:val="22"/>
              </w:rPr>
              <w:t>2022 version</w:t>
            </w:r>
          </w:p>
          <w:p w14:paraId="1A7048FF" w14:textId="718FFB96" w:rsidR="007F1CC4" w:rsidRDefault="007F1CC4" w:rsidP="00155350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7F1CC4">
              <w:rPr>
                <w:bCs/>
                <w:iCs/>
                <w:sz w:val="22"/>
                <w:szCs w:val="22"/>
              </w:rPr>
              <w:lastRenderedPageBreak/>
              <w:t xml:space="preserve">PDR FAQ document </w:t>
            </w:r>
            <w:r w:rsidR="00175129">
              <w:rPr>
                <w:bCs/>
                <w:iCs/>
                <w:sz w:val="22"/>
                <w:szCs w:val="22"/>
              </w:rPr>
              <w:t xml:space="preserve">current version (May) </w:t>
            </w:r>
            <w:r w:rsidRPr="007F1CC4">
              <w:rPr>
                <w:bCs/>
                <w:iCs/>
                <w:sz w:val="22"/>
                <w:szCs w:val="22"/>
              </w:rPr>
              <w:t>2022</w:t>
            </w:r>
          </w:p>
          <w:p w14:paraId="2D41F7C9" w14:textId="7A165889" w:rsidR="00771AC5" w:rsidRPr="007F1CC4" w:rsidRDefault="00771AC5" w:rsidP="00155350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Performance Improvement Policy</w:t>
            </w:r>
          </w:p>
          <w:p w14:paraId="5ECFEB65" w14:textId="388C0BEE" w:rsidR="004B55F2" w:rsidRPr="004B55F2" w:rsidRDefault="0064182D" w:rsidP="00155350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Working Policy</w:t>
            </w:r>
          </w:p>
          <w:p w14:paraId="3499F545" w14:textId="58D21FCF" w:rsidR="003C4661" w:rsidRPr="0064182D" w:rsidRDefault="004B55F2" w:rsidP="00497689">
            <w:pPr>
              <w:numPr>
                <w:ilvl w:val="0"/>
                <w:numId w:val="14"/>
              </w:num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EDI Policy</w:t>
            </w:r>
            <w:r w:rsidR="007C6CB0">
              <w:rPr>
                <w:sz w:val="22"/>
                <w:szCs w:val="22"/>
              </w:rPr>
              <w:t xml:space="preserve"> and Action Plan</w:t>
            </w:r>
          </w:p>
        </w:tc>
      </w:tr>
      <w:tr w:rsidR="00155350" w14:paraId="7A47F8F6" w14:textId="77777777" w:rsidTr="00723CF2">
        <w:tc>
          <w:tcPr>
            <w:tcW w:w="10604" w:type="dxa"/>
            <w:gridSpan w:val="6"/>
            <w:shd w:val="clear" w:color="auto" w:fill="92D050"/>
          </w:tcPr>
          <w:p w14:paraId="2C600260" w14:textId="77777777" w:rsidR="00155350" w:rsidRPr="00155350" w:rsidRDefault="00155350" w:rsidP="002E452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sz w:val="22"/>
                <w:szCs w:val="22"/>
              </w:rPr>
            </w:pPr>
            <w:bookmarkStart w:id="5" w:name="_Hlk62118148"/>
            <w:r>
              <w:rPr>
                <w:b/>
                <w:sz w:val="22"/>
                <w:szCs w:val="22"/>
              </w:rPr>
              <w:lastRenderedPageBreak/>
              <w:t>Document History</w:t>
            </w:r>
          </w:p>
        </w:tc>
      </w:tr>
      <w:bookmarkEnd w:id="5"/>
      <w:tr w:rsidR="00ED5A59" w:rsidRPr="00155350" w14:paraId="71538584" w14:textId="77777777" w:rsidTr="00723CF2">
        <w:trPr>
          <w:trHeight w:val="435"/>
        </w:trPr>
        <w:tc>
          <w:tcPr>
            <w:tcW w:w="1277" w:type="dxa"/>
          </w:tcPr>
          <w:p w14:paraId="3626EF47" w14:textId="77777777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495" w:type="dxa"/>
          </w:tcPr>
          <w:p w14:paraId="0EB63EA7" w14:textId="77777777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68" w:type="dxa"/>
          </w:tcPr>
          <w:p w14:paraId="008E4791" w14:textId="77777777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4008" w:type="dxa"/>
            <w:gridSpan w:val="2"/>
          </w:tcPr>
          <w:p w14:paraId="6D5C304F" w14:textId="0171FE12" w:rsidR="00F36A84" w:rsidRPr="00155350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 </w:t>
            </w:r>
          </w:p>
        </w:tc>
        <w:tc>
          <w:tcPr>
            <w:tcW w:w="1956" w:type="dxa"/>
          </w:tcPr>
          <w:p w14:paraId="62FAF0AC" w14:textId="77777777" w:rsidR="00F36A84" w:rsidRDefault="00F3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</w:t>
            </w:r>
          </w:p>
          <w:p w14:paraId="04B62E1B" w14:textId="48BB24E2" w:rsidR="0064182D" w:rsidRPr="00155350" w:rsidRDefault="0064182D">
            <w:pPr>
              <w:rPr>
                <w:b/>
                <w:sz w:val="22"/>
                <w:szCs w:val="22"/>
              </w:rPr>
            </w:pPr>
          </w:p>
        </w:tc>
      </w:tr>
      <w:tr w:rsidR="00ED5A59" w14:paraId="3E39AAD5" w14:textId="77777777" w:rsidTr="00723CF2">
        <w:tc>
          <w:tcPr>
            <w:tcW w:w="1277" w:type="dxa"/>
          </w:tcPr>
          <w:p w14:paraId="409E9A53" w14:textId="2D6443C8" w:rsidR="0064182D" w:rsidRPr="002476A7" w:rsidRDefault="00D87DD4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1.</w:t>
            </w:r>
          </w:p>
          <w:p w14:paraId="25DB2DD0" w14:textId="2FB151DF" w:rsidR="0064182D" w:rsidRPr="002476A7" w:rsidRDefault="0064182D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647946CC" w14:textId="38F97A90" w:rsidR="0064182D" w:rsidRPr="002476A7" w:rsidRDefault="007B1124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 July 2022</w:t>
            </w:r>
          </w:p>
        </w:tc>
        <w:tc>
          <w:tcPr>
            <w:tcW w:w="1868" w:type="dxa"/>
          </w:tcPr>
          <w:p w14:paraId="1B9DEFD4" w14:textId="3A296476" w:rsidR="0064182D" w:rsidRPr="002476A7" w:rsidRDefault="00413916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People Strategy </w:t>
            </w:r>
            <w:r w:rsidR="0064182D" w:rsidRPr="002476A7">
              <w:rPr>
                <w:rFonts w:cs="Tahoma"/>
                <w:sz w:val="22"/>
                <w:szCs w:val="22"/>
                <w:lang w:val="en-US"/>
              </w:rPr>
              <w:t xml:space="preserve">&amp; </w:t>
            </w: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Projects </w:t>
            </w:r>
            <w:r w:rsidR="0064182D" w:rsidRPr="002476A7">
              <w:rPr>
                <w:rFonts w:cs="Tahoma"/>
                <w:sz w:val="22"/>
                <w:szCs w:val="22"/>
                <w:lang w:val="en-US"/>
              </w:rPr>
              <w:t>Team</w:t>
            </w:r>
          </w:p>
        </w:tc>
        <w:tc>
          <w:tcPr>
            <w:tcW w:w="4008" w:type="dxa"/>
            <w:gridSpan w:val="2"/>
          </w:tcPr>
          <w:p w14:paraId="15066B30" w14:textId="7FFA91B3" w:rsidR="0064182D" w:rsidRPr="002476A7" w:rsidRDefault="00ED5A59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Review of existing Policy &amp; Procedure resulting in the introduction of 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 xml:space="preserve">separate </w:t>
            </w: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Policy 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>&amp; Procedure documents</w:t>
            </w:r>
            <w:r w:rsidR="00E747CA" w:rsidRPr="002476A7">
              <w:rPr>
                <w:rFonts w:cs="Tahoma"/>
                <w:sz w:val="22"/>
                <w:szCs w:val="22"/>
                <w:lang w:val="en-US"/>
              </w:rPr>
              <w:t xml:space="preserve">. </w:t>
            </w:r>
            <w:r w:rsidRPr="002476A7">
              <w:rPr>
                <w:rFonts w:cs="Tahoma"/>
                <w:sz w:val="22"/>
                <w:szCs w:val="22"/>
                <w:lang w:val="en-US"/>
              </w:rPr>
              <w:t xml:space="preserve">Minor updating applied throughout Policy Statement, Procedures &amp; Form </w:t>
            </w:r>
            <w:r w:rsidR="004520C4" w:rsidRPr="002476A7">
              <w:rPr>
                <w:rFonts w:cs="Tahoma"/>
                <w:sz w:val="22"/>
                <w:szCs w:val="22"/>
                <w:lang w:val="en-US"/>
              </w:rPr>
              <w:t>in line with current working systems and practices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 xml:space="preserve">, </w:t>
            </w:r>
            <w:r w:rsidR="00381EC8" w:rsidRPr="002476A7">
              <w:rPr>
                <w:rFonts w:cs="Tahoma"/>
                <w:sz w:val="22"/>
                <w:szCs w:val="22"/>
                <w:lang w:val="en-US"/>
              </w:rPr>
              <w:t xml:space="preserve">and PDR Policy &amp; </w:t>
            </w:r>
            <w:r w:rsidR="00D004D0" w:rsidRPr="002476A7">
              <w:rPr>
                <w:rFonts w:cs="Tahoma"/>
                <w:sz w:val="22"/>
                <w:szCs w:val="22"/>
                <w:lang w:val="en-US"/>
              </w:rPr>
              <w:t>p</w:t>
            </w:r>
            <w:r w:rsidR="00381EC8" w:rsidRPr="002476A7">
              <w:rPr>
                <w:rFonts w:cs="Tahoma"/>
                <w:sz w:val="22"/>
                <w:szCs w:val="22"/>
                <w:lang w:val="en-US"/>
              </w:rPr>
              <w:t>rocess</w:t>
            </w:r>
            <w:r w:rsidR="00294486" w:rsidRPr="002476A7">
              <w:rPr>
                <w:rFonts w:cs="Tahoma"/>
                <w:sz w:val="22"/>
                <w:szCs w:val="22"/>
                <w:lang w:val="en-US"/>
              </w:rPr>
              <w:t xml:space="preserve"> for 2022/23.</w:t>
            </w:r>
          </w:p>
        </w:tc>
        <w:tc>
          <w:tcPr>
            <w:tcW w:w="1956" w:type="dxa"/>
          </w:tcPr>
          <w:p w14:paraId="324ADBBE" w14:textId="29F52752" w:rsidR="0064182D" w:rsidRPr="002476A7" w:rsidRDefault="0064182D" w:rsidP="0064182D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bookmarkEnd w:id="1"/>
    </w:tbl>
    <w:p w14:paraId="68372842" w14:textId="27105EB2" w:rsidR="00984E7E" w:rsidRDefault="00984E7E" w:rsidP="0064182D"/>
    <w:p w14:paraId="35AC17F8" w14:textId="77777777" w:rsidR="000354D8" w:rsidRPr="00D004D0" w:rsidRDefault="000354D8" w:rsidP="00792403">
      <w:pPr>
        <w:ind w:left="-851"/>
        <w:rPr>
          <w:rStyle w:val="Emphasis"/>
          <w:sz w:val="22"/>
          <w:highlight w:val="yellow"/>
        </w:rPr>
      </w:pPr>
    </w:p>
    <w:sectPr w:rsidR="000354D8" w:rsidRPr="00D004D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728C" w14:textId="77777777" w:rsidR="00696CDB" w:rsidRDefault="00696CDB" w:rsidP="00705A74">
      <w:r>
        <w:separator/>
      </w:r>
    </w:p>
  </w:endnote>
  <w:endnote w:type="continuationSeparator" w:id="0">
    <w:p w14:paraId="363C32FA" w14:textId="77777777" w:rsidR="00696CDB" w:rsidRDefault="00696CDB" w:rsidP="007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79A" w14:textId="77777777" w:rsidR="00705A74" w:rsidRPr="00705A74" w:rsidRDefault="00060F7B" w:rsidP="00705A74">
    <w:pPr>
      <w:pBdr>
        <w:bottom w:val="single" w:sz="12" w:space="1" w:color="auto"/>
      </w:pBdr>
      <w:spacing w:before="40" w:after="40" w:line="300" w:lineRule="atLeast"/>
      <w:ind w:left="-851" w:right="-858"/>
      <w:jc w:val="both"/>
      <w:rPr>
        <w:rFonts w:cs="Gill Sans MT"/>
        <w:b/>
        <w:bCs/>
        <w:color w:val="7EB900"/>
        <w:sz w:val="16"/>
        <w:szCs w:val="16"/>
        <w:u w:val="single"/>
        <w:lang w:val="en-US" w:eastAsia="en-US"/>
      </w:rPr>
    </w:pPr>
    <w:hyperlink r:id="rId1" w:history="1">
      <w:r w:rsidR="00705A74" w:rsidRPr="00705A74">
        <w:rPr>
          <w:rFonts w:cs="Gill Sans MT"/>
          <w:b/>
          <w:bCs/>
          <w:color w:val="7EB900"/>
          <w:sz w:val="16"/>
          <w:szCs w:val="16"/>
          <w:u w:val="single"/>
          <w:lang w:val="en-US" w:eastAsia="en-US"/>
        </w:rPr>
        <w:t>www.barnardos.org.uk</w:t>
      </w:r>
    </w:hyperlink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  <w:t xml:space="preserve"> </w:t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  <w:r w:rsidR="00705A74" w:rsidRPr="00705A74">
      <w:rPr>
        <w:rFonts w:cs="Gill Sans MT"/>
        <w:b/>
        <w:bCs/>
        <w:color w:val="7EB900"/>
        <w:sz w:val="16"/>
        <w:szCs w:val="16"/>
        <w:lang w:val="en-US" w:eastAsia="en-US"/>
      </w:rPr>
      <w:tab/>
    </w:r>
  </w:p>
  <w:p w14:paraId="3F271634" w14:textId="646CCB33" w:rsidR="00705A74" w:rsidRPr="00705A74" w:rsidRDefault="00705A74" w:rsidP="00705A74">
    <w:pPr>
      <w:pBdr>
        <w:bottom w:val="single" w:sz="12" w:space="1" w:color="auto"/>
      </w:pBdr>
      <w:spacing w:before="40" w:after="40" w:line="300" w:lineRule="atLeast"/>
      <w:ind w:left="-851" w:right="-858"/>
      <w:rPr>
        <w:rFonts w:cs="Gill Sans MT"/>
        <w:color w:val="7F7F7F"/>
        <w:sz w:val="16"/>
        <w:szCs w:val="16"/>
        <w:lang w:eastAsia="en-US"/>
      </w:rPr>
    </w:pPr>
    <w:r w:rsidRPr="00705A74">
      <w:rPr>
        <w:rFonts w:cs="Gill Sans MT"/>
        <w:color w:val="7F7F7F"/>
        <w:sz w:val="16"/>
        <w:szCs w:val="16"/>
        <w:lang w:val="en-US" w:eastAsia="en-US"/>
      </w:rPr>
      <w:t>Barnardo’s Registered Charity Nos. 216250 and SC037605</w:t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>
      <w:rPr>
        <w:rFonts w:cs="Gill Sans MT"/>
        <w:color w:val="7F7F7F"/>
        <w:sz w:val="16"/>
        <w:szCs w:val="16"/>
        <w:lang w:val="en-US" w:eastAsia="en-US"/>
      </w:rPr>
      <w:tab/>
    </w:r>
    <w:r w:rsidRPr="00705A74">
      <w:rPr>
        <w:rFonts w:cs="Gill Sans MT"/>
        <w:color w:val="7F7F7F"/>
        <w:sz w:val="16"/>
        <w:szCs w:val="16"/>
        <w:lang w:val="en-US" w:eastAsia="en-US"/>
      </w:rPr>
      <w:t xml:space="preserve">Page 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begin"/>
    </w:r>
    <w:r w:rsidRPr="00705A74">
      <w:rPr>
        <w:rFonts w:cs="Gill Sans MT"/>
        <w:b/>
        <w:color w:val="7F7F7F"/>
        <w:sz w:val="16"/>
        <w:szCs w:val="16"/>
        <w:lang w:val="en-US" w:eastAsia="en-US"/>
      </w:rPr>
      <w:instrText xml:space="preserve"> PAGE  \* Arabic  \* MERGEFORMAT </w:instrTex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separate"/>
    </w:r>
    <w:r w:rsidR="00F800C0">
      <w:rPr>
        <w:rFonts w:cs="Gill Sans MT"/>
        <w:b/>
        <w:noProof/>
        <w:color w:val="7F7F7F"/>
        <w:sz w:val="16"/>
        <w:szCs w:val="16"/>
        <w:lang w:val="en-US" w:eastAsia="en-US"/>
      </w:rPr>
      <w:t>1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end"/>
    </w:r>
    <w:r w:rsidRPr="00705A74">
      <w:rPr>
        <w:rFonts w:cs="Gill Sans MT"/>
        <w:color w:val="7F7F7F"/>
        <w:sz w:val="16"/>
        <w:szCs w:val="16"/>
        <w:lang w:val="en-US" w:eastAsia="en-US"/>
      </w:rPr>
      <w:t xml:space="preserve"> of 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begin"/>
    </w:r>
    <w:r w:rsidRPr="00705A74">
      <w:rPr>
        <w:rFonts w:cs="Gill Sans MT"/>
        <w:b/>
        <w:color w:val="7F7F7F"/>
        <w:sz w:val="16"/>
        <w:szCs w:val="16"/>
        <w:lang w:val="en-US" w:eastAsia="en-US"/>
      </w:rPr>
      <w:instrText xml:space="preserve"> NUMPAGES  \* Arabic  \* MERGEFORMAT </w:instrTex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separate"/>
    </w:r>
    <w:r w:rsidR="00F800C0">
      <w:rPr>
        <w:rFonts w:cs="Gill Sans MT"/>
        <w:b/>
        <w:noProof/>
        <w:color w:val="7F7F7F"/>
        <w:sz w:val="16"/>
        <w:szCs w:val="16"/>
        <w:lang w:val="en-US" w:eastAsia="en-US"/>
      </w:rPr>
      <w:t>3</w:t>
    </w:r>
    <w:r w:rsidRPr="00705A74">
      <w:rPr>
        <w:rFonts w:cs="Gill Sans MT"/>
        <w:b/>
        <w:color w:val="7F7F7F"/>
        <w:sz w:val="16"/>
        <w:szCs w:val="16"/>
        <w:lang w:val="en-US" w:eastAsia="en-US"/>
      </w:rPr>
      <w:fldChar w:fldCharType="end"/>
    </w:r>
  </w:p>
  <w:p w14:paraId="598B98C3" w14:textId="77777777" w:rsidR="00705A74" w:rsidRDefault="00705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CE39" w14:textId="77777777" w:rsidR="00696CDB" w:rsidRDefault="00696CDB" w:rsidP="00705A74">
      <w:r>
        <w:separator/>
      </w:r>
    </w:p>
  </w:footnote>
  <w:footnote w:type="continuationSeparator" w:id="0">
    <w:p w14:paraId="422C6753" w14:textId="77777777" w:rsidR="00696CDB" w:rsidRDefault="00696CDB" w:rsidP="0070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AC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10490B"/>
    <w:multiLevelType w:val="hybridMultilevel"/>
    <w:tmpl w:val="CB6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4B2"/>
    <w:multiLevelType w:val="multilevel"/>
    <w:tmpl w:val="A0B8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2520"/>
      </w:pPr>
      <w:rPr>
        <w:rFonts w:hint="default"/>
      </w:rPr>
    </w:lvl>
  </w:abstractNum>
  <w:abstractNum w:abstractNumId="3" w15:restartNumberingAfterBreak="0">
    <w:nsid w:val="15A75508"/>
    <w:multiLevelType w:val="multilevel"/>
    <w:tmpl w:val="BE5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908F8"/>
    <w:multiLevelType w:val="hybridMultilevel"/>
    <w:tmpl w:val="61BE36D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5B3020B"/>
    <w:multiLevelType w:val="multilevel"/>
    <w:tmpl w:val="F716B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71E6FE2"/>
    <w:multiLevelType w:val="hybridMultilevel"/>
    <w:tmpl w:val="8A5C5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26756"/>
    <w:multiLevelType w:val="hybridMultilevel"/>
    <w:tmpl w:val="27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98A"/>
    <w:multiLevelType w:val="multilevel"/>
    <w:tmpl w:val="5FEE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44D8B"/>
    <w:multiLevelType w:val="hybridMultilevel"/>
    <w:tmpl w:val="436036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1B5D"/>
    <w:multiLevelType w:val="hybridMultilevel"/>
    <w:tmpl w:val="0FCC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A9"/>
    <w:multiLevelType w:val="hybridMultilevel"/>
    <w:tmpl w:val="9DE4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62EC"/>
    <w:multiLevelType w:val="hybridMultilevel"/>
    <w:tmpl w:val="6324B672"/>
    <w:lvl w:ilvl="0" w:tplc="93B2B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C5F08"/>
    <w:multiLevelType w:val="hybridMultilevel"/>
    <w:tmpl w:val="DB12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B1681"/>
    <w:multiLevelType w:val="hybridMultilevel"/>
    <w:tmpl w:val="0F82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4AD7"/>
    <w:multiLevelType w:val="hybridMultilevel"/>
    <w:tmpl w:val="AC5E1ED0"/>
    <w:lvl w:ilvl="0" w:tplc="616A7C62">
      <w:start w:val="1"/>
      <w:numFmt w:val="decimal"/>
      <w:lvlText w:val="%1."/>
      <w:lvlJc w:val="left"/>
      <w:pPr>
        <w:tabs>
          <w:tab w:val="num" w:pos="906"/>
        </w:tabs>
        <w:ind w:left="906" w:hanging="453"/>
      </w:pPr>
      <w:rPr>
        <w:rFonts w:hint="default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 w15:restartNumberingAfterBreak="0">
    <w:nsid w:val="45C96D98"/>
    <w:multiLevelType w:val="hybridMultilevel"/>
    <w:tmpl w:val="7FD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6A4A"/>
    <w:multiLevelType w:val="hybridMultilevel"/>
    <w:tmpl w:val="CD2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463F"/>
    <w:multiLevelType w:val="multilevel"/>
    <w:tmpl w:val="656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BF6250"/>
    <w:multiLevelType w:val="multilevel"/>
    <w:tmpl w:val="AB766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52D76"/>
    <w:multiLevelType w:val="hybridMultilevel"/>
    <w:tmpl w:val="579C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303F"/>
    <w:multiLevelType w:val="multilevel"/>
    <w:tmpl w:val="5F0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407087"/>
    <w:multiLevelType w:val="hybridMultilevel"/>
    <w:tmpl w:val="5668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0E97"/>
    <w:multiLevelType w:val="multilevel"/>
    <w:tmpl w:val="EB4A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C63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72713"/>
    <w:multiLevelType w:val="hybridMultilevel"/>
    <w:tmpl w:val="6E88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0812"/>
    <w:multiLevelType w:val="multilevel"/>
    <w:tmpl w:val="745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7797B"/>
    <w:multiLevelType w:val="hybridMultilevel"/>
    <w:tmpl w:val="6B88AA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A7244"/>
    <w:multiLevelType w:val="multilevel"/>
    <w:tmpl w:val="E63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AF28E4"/>
    <w:multiLevelType w:val="multilevel"/>
    <w:tmpl w:val="D35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AA1C19"/>
    <w:multiLevelType w:val="hybridMultilevel"/>
    <w:tmpl w:val="2572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554D"/>
    <w:multiLevelType w:val="hybridMultilevel"/>
    <w:tmpl w:val="458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D17E6"/>
    <w:multiLevelType w:val="hybridMultilevel"/>
    <w:tmpl w:val="0974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860A5"/>
    <w:multiLevelType w:val="hybridMultilevel"/>
    <w:tmpl w:val="D8C2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A1088"/>
    <w:multiLevelType w:val="hybridMultilevel"/>
    <w:tmpl w:val="F0A0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6FB9"/>
    <w:multiLevelType w:val="hybridMultilevel"/>
    <w:tmpl w:val="97C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27F76"/>
    <w:multiLevelType w:val="hybridMultilevel"/>
    <w:tmpl w:val="51B6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4858"/>
    <w:multiLevelType w:val="hybridMultilevel"/>
    <w:tmpl w:val="2D5C8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E368B5"/>
    <w:multiLevelType w:val="hybridMultilevel"/>
    <w:tmpl w:val="BCA0E816"/>
    <w:lvl w:ilvl="0" w:tplc="F33E5386">
      <w:start w:val="5"/>
      <w:numFmt w:val="bullet"/>
      <w:lvlText w:val="-"/>
      <w:lvlJc w:val="left"/>
      <w:pPr>
        <w:ind w:left="720" w:hanging="360"/>
      </w:pPr>
      <w:rPr>
        <w:rFonts w:ascii="Gill Alt One MT" w:eastAsia="Times New Roman" w:hAnsi="Gill Alt One MT" w:cs="Gill Alt One MT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80FCE"/>
    <w:multiLevelType w:val="hybridMultilevel"/>
    <w:tmpl w:val="2A28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54FB0"/>
    <w:multiLevelType w:val="hybridMultilevel"/>
    <w:tmpl w:val="C61C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51DE3"/>
    <w:multiLevelType w:val="multilevel"/>
    <w:tmpl w:val="A26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9616844">
    <w:abstractNumId w:val="16"/>
  </w:num>
  <w:num w:numId="2" w16cid:durableId="1697733336">
    <w:abstractNumId w:val="11"/>
  </w:num>
  <w:num w:numId="3" w16cid:durableId="1603142389">
    <w:abstractNumId w:val="35"/>
  </w:num>
  <w:num w:numId="4" w16cid:durableId="157314036">
    <w:abstractNumId w:val="32"/>
  </w:num>
  <w:num w:numId="5" w16cid:durableId="996570614">
    <w:abstractNumId w:val="10"/>
  </w:num>
  <w:num w:numId="6" w16cid:durableId="1962417033">
    <w:abstractNumId w:val="38"/>
  </w:num>
  <w:num w:numId="7" w16cid:durableId="1157267184">
    <w:abstractNumId w:val="7"/>
  </w:num>
  <w:num w:numId="8" w16cid:durableId="710107181">
    <w:abstractNumId w:val="13"/>
  </w:num>
  <w:num w:numId="9" w16cid:durableId="173805070">
    <w:abstractNumId w:val="14"/>
  </w:num>
  <w:num w:numId="10" w16cid:durableId="365838009">
    <w:abstractNumId w:val="17"/>
  </w:num>
  <w:num w:numId="11" w16cid:durableId="1751192111">
    <w:abstractNumId w:val="37"/>
  </w:num>
  <w:num w:numId="12" w16cid:durableId="2017536869">
    <w:abstractNumId w:val="31"/>
  </w:num>
  <w:num w:numId="13" w16cid:durableId="2022858222">
    <w:abstractNumId w:val="33"/>
  </w:num>
  <w:num w:numId="14" w16cid:durableId="35668352">
    <w:abstractNumId w:val="30"/>
  </w:num>
  <w:num w:numId="15" w16cid:durableId="648898196">
    <w:abstractNumId w:val="15"/>
  </w:num>
  <w:num w:numId="16" w16cid:durableId="1184972792">
    <w:abstractNumId w:val="20"/>
  </w:num>
  <w:num w:numId="17" w16cid:durableId="752048234">
    <w:abstractNumId w:val="4"/>
  </w:num>
  <w:num w:numId="18" w16cid:durableId="1911967103">
    <w:abstractNumId w:val="22"/>
  </w:num>
  <w:num w:numId="19" w16cid:durableId="1361710354">
    <w:abstractNumId w:val="25"/>
  </w:num>
  <w:num w:numId="20" w16cid:durableId="470903090">
    <w:abstractNumId w:val="27"/>
  </w:num>
  <w:num w:numId="21" w16cid:durableId="1063673645">
    <w:abstractNumId w:val="21"/>
  </w:num>
  <w:num w:numId="22" w16cid:durableId="2116248407">
    <w:abstractNumId w:val="40"/>
  </w:num>
  <w:num w:numId="23" w16cid:durableId="1124271546">
    <w:abstractNumId w:val="28"/>
  </w:num>
  <w:num w:numId="24" w16cid:durableId="1425686190">
    <w:abstractNumId w:val="3"/>
  </w:num>
  <w:num w:numId="25" w16cid:durableId="1692796495">
    <w:abstractNumId w:val="18"/>
  </w:num>
  <w:num w:numId="26" w16cid:durableId="1496383537">
    <w:abstractNumId w:val="19"/>
  </w:num>
  <w:num w:numId="27" w16cid:durableId="1206136668">
    <w:abstractNumId w:val="23"/>
  </w:num>
  <w:num w:numId="28" w16cid:durableId="324672801">
    <w:abstractNumId w:val="12"/>
  </w:num>
  <w:num w:numId="29" w16cid:durableId="1269118304">
    <w:abstractNumId w:val="29"/>
  </w:num>
  <w:num w:numId="30" w16cid:durableId="1693610456">
    <w:abstractNumId w:val="36"/>
  </w:num>
  <w:num w:numId="31" w16cid:durableId="1170482427">
    <w:abstractNumId w:val="34"/>
  </w:num>
  <w:num w:numId="32" w16cid:durableId="1755316445">
    <w:abstractNumId w:val="39"/>
  </w:num>
  <w:num w:numId="33" w16cid:durableId="1025205001">
    <w:abstractNumId w:val="24"/>
  </w:num>
  <w:num w:numId="34" w16cid:durableId="460392362">
    <w:abstractNumId w:val="5"/>
  </w:num>
  <w:num w:numId="35" w16cid:durableId="1246764996">
    <w:abstractNumId w:val="2"/>
  </w:num>
  <w:num w:numId="36" w16cid:durableId="1709068539">
    <w:abstractNumId w:val="0"/>
  </w:num>
  <w:num w:numId="37" w16cid:durableId="1959289086">
    <w:abstractNumId w:val="9"/>
  </w:num>
  <w:num w:numId="38" w16cid:durableId="1079056229">
    <w:abstractNumId w:val="26"/>
  </w:num>
  <w:num w:numId="39" w16cid:durableId="317154589">
    <w:abstractNumId w:val="6"/>
  </w:num>
  <w:num w:numId="40" w16cid:durableId="1503929357">
    <w:abstractNumId w:val="8"/>
  </w:num>
  <w:num w:numId="41" w16cid:durableId="113648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0"/>
    <w:rsid w:val="0000479A"/>
    <w:rsid w:val="00005B32"/>
    <w:rsid w:val="00013317"/>
    <w:rsid w:val="00015CBF"/>
    <w:rsid w:val="0003202D"/>
    <w:rsid w:val="000354D8"/>
    <w:rsid w:val="00037E1B"/>
    <w:rsid w:val="00044B37"/>
    <w:rsid w:val="00057B3C"/>
    <w:rsid w:val="00060F7B"/>
    <w:rsid w:val="00061B7B"/>
    <w:rsid w:val="00086289"/>
    <w:rsid w:val="00086AE8"/>
    <w:rsid w:val="00090DCB"/>
    <w:rsid w:val="00092343"/>
    <w:rsid w:val="000940E5"/>
    <w:rsid w:val="00094B7B"/>
    <w:rsid w:val="000B7FA7"/>
    <w:rsid w:val="000C644D"/>
    <w:rsid w:val="000E4296"/>
    <w:rsid w:val="000F7C2B"/>
    <w:rsid w:val="0010571D"/>
    <w:rsid w:val="001117C8"/>
    <w:rsid w:val="00120A9D"/>
    <w:rsid w:val="0012168C"/>
    <w:rsid w:val="00122782"/>
    <w:rsid w:val="001351EC"/>
    <w:rsid w:val="00140936"/>
    <w:rsid w:val="00143D87"/>
    <w:rsid w:val="00146E91"/>
    <w:rsid w:val="00152154"/>
    <w:rsid w:val="0015344A"/>
    <w:rsid w:val="00155350"/>
    <w:rsid w:val="001605FB"/>
    <w:rsid w:val="001637BB"/>
    <w:rsid w:val="001639DF"/>
    <w:rsid w:val="00174C87"/>
    <w:rsid w:val="00175129"/>
    <w:rsid w:val="001810E2"/>
    <w:rsid w:val="001A11F5"/>
    <w:rsid w:val="001A4AAA"/>
    <w:rsid w:val="001A6C83"/>
    <w:rsid w:val="001B1A7C"/>
    <w:rsid w:val="001B5417"/>
    <w:rsid w:val="001C53FD"/>
    <w:rsid w:val="001D55AA"/>
    <w:rsid w:val="001F0240"/>
    <w:rsid w:val="001F13CE"/>
    <w:rsid w:val="001F1D13"/>
    <w:rsid w:val="001F3752"/>
    <w:rsid w:val="002005E2"/>
    <w:rsid w:val="002227DD"/>
    <w:rsid w:val="00224F69"/>
    <w:rsid w:val="002476A7"/>
    <w:rsid w:val="002601DE"/>
    <w:rsid w:val="00265833"/>
    <w:rsid w:val="00266453"/>
    <w:rsid w:val="00277157"/>
    <w:rsid w:val="00280485"/>
    <w:rsid w:val="00294486"/>
    <w:rsid w:val="002A0A69"/>
    <w:rsid w:val="002A23C4"/>
    <w:rsid w:val="002A25D1"/>
    <w:rsid w:val="002B3B39"/>
    <w:rsid w:val="002D01A4"/>
    <w:rsid w:val="002D3962"/>
    <w:rsid w:val="002E5BC7"/>
    <w:rsid w:val="002F0630"/>
    <w:rsid w:val="00311CA0"/>
    <w:rsid w:val="003125EF"/>
    <w:rsid w:val="003150FF"/>
    <w:rsid w:val="00322131"/>
    <w:rsid w:val="00322ECB"/>
    <w:rsid w:val="0032630C"/>
    <w:rsid w:val="00326D30"/>
    <w:rsid w:val="0033575A"/>
    <w:rsid w:val="0033580D"/>
    <w:rsid w:val="00337599"/>
    <w:rsid w:val="00345775"/>
    <w:rsid w:val="0036008F"/>
    <w:rsid w:val="00363D5F"/>
    <w:rsid w:val="00367B0F"/>
    <w:rsid w:val="00381EC8"/>
    <w:rsid w:val="003A075A"/>
    <w:rsid w:val="003A1112"/>
    <w:rsid w:val="003A7E11"/>
    <w:rsid w:val="003B1FF0"/>
    <w:rsid w:val="003C4661"/>
    <w:rsid w:val="003C6E87"/>
    <w:rsid w:val="003C74CF"/>
    <w:rsid w:val="003D4FEB"/>
    <w:rsid w:val="003D7C8C"/>
    <w:rsid w:val="003E1D5F"/>
    <w:rsid w:val="003E37CC"/>
    <w:rsid w:val="003E558E"/>
    <w:rsid w:val="003F12A1"/>
    <w:rsid w:val="003F518C"/>
    <w:rsid w:val="003F5E8D"/>
    <w:rsid w:val="004113F2"/>
    <w:rsid w:val="00412D33"/>
    <w:rsid w:val="00413916"/>
    <w:rsid w:val="004141FE"/>
    <w:rsid w:val="00416317"/>
    <w:rsid w:val="0043324A"/>
    <w:rsid w:val="00436530"/>
    <w:rsid w:val="00436CD1"/>
    <w:rsid w:val="004448AC"/>
    <w:rsid w:val="00444A20"/>
    <w:rsid w:val="004520C4"/>
    <w:rsid w:val="00454A8B"/>
    <w:rsid w:val="00456F2B"/>
    <w:rsid w:val="00457E1A"/>
    <w:rsid w:val="004752CE"/>
    <w:rsid w:val="00485CA2"/>
    <w:rsid w:val="0049258C"/>
    <w:rsid w:val="004934E8"/>
    <w:rsid w:val="00497689"/>
    <w:rsid w:val="004A2DA9"/>
    <w:rsid w:val="004B55F2"/>
    <w:rsid w:val="004D5017"/>
    <w:rsid w:val="004E0D8A"/>
    <w:rsid w:val="004E36C2"/>
    <w:rsid w:val="004E6600"/>
    <w:rsid w:val="004F1CAA"/>
    <w:rsid w:val="0050028C"/>
    <w:rsid w:val="00504FAF"/>
    <w:rsid w:val="00516581"/>
    <w:rsid w:val="00540D25"/>
    <w:rsid w:val="005440ED"/>
    <w:rsid w:val="00550D41"/>
    <w:rsid w:val="00576E9A"/>
    <w:rsid w:val="0058008B"/>
    <w:rsid w:val="00581919"/>
    <w:rsid w:val="0058285D"/>
    <w:rsid w:val="00583230"/>
    <w:rsid w:val="005837A1"/>
    <w:rsid w:val="00590D32"/>
    <w:rsid w:val="00590E53"/>
    <w:rsid w:val="0059474B"/>
    <w:rsid w:val="0059487C"/>
    <w:rsid w:val="005A2A83"/>
    <w:rsid w:val="005B00AA"/>
    <w:rsid w:val="005B101E"/>
    <w:rsid w:val="005B4EE3"/>
    <w:rsid w:val="005B4F93"/>
    <w:rsid w:val="005B53D1"/>
    <w:rsid w:val="005C4EE9"/>
    <w:rsid w:val="005D4A19"/>
    <w:rsid w:val="005D7AA1"/>
    <w:rsid w:val="005E6E5A"/>
    <w:rsid w:val="005F7E9C"/>
    <w:rsid w:val="006003D4"/>
    <w:rsid w:val="00602062"/>
    <w:rsid w:val="006030C7"/>
    <w:rsid w:val="00621EC0"/>
    <w:rsid w:val="00637B97"/>
    <w:rsid w:val="0064182D"/>
    <w:rsid w:val="00650776"/>
    <w:rsid w:val="00650D3E"/>
    <w:rsid w:val="006543DF"/>
    <w:rsid w:val="006564A8"/>
    <w:rsid w:val="00657471"/>
    <w:rsid w:val="0067184E"/>
    <w:rsid w:val="00676F80"/>
    <w:rsid w:val="00687523"/>
    <w:rsid w:val="00691ED9"/>
    <w:rsid w:val="00696929"/>
    <w:rsid w:val="00696CDB"/>
    <w:rsid w:val="006A09D1"/>
    <w:rsid w:val="006A408A"/>
    <w:rsid w:val="006C3666"/>
    <w:rsid w:val="006D28AA"/>
    <w:rsid w:val="006E4245"/>
    <w:rsid w:val="006E6F26"/>
    <w:rsid w:val="006F48FD"/>
    <w:rsid w:val="0070529A"/>
    <w:rsid w:val="00705A74"/>
    <w:rsid w:val="007151FC"/>
    <w:rsid w:val="0072283B"/>
    <w:rsid w:val="00723CF2"/>
    <w:rsid w:val="00726E5F"/>
    <w:rsid w:val="00736A9D"/>
    <w:rsid w:val="00742C12"/>
    <w:rsid w:val="00746A95"/>
    <w:rsid w:val="007500FD"/>
    <w:rsid w:val="00767F81"/>
    <w:rsid w:val="00770813"/>
    <w:rsid w:val="00771AC5"/>
    <w:rsid w:val="00772287"/>
    <w:rsid w:val="0077680B"/>
    <w:rsid w:val="0077727C"/>
    <w:rsid w:val="0078538D"/>
    <w:rsid w:val="00792403"/>
    <w:rsid w:val="00796F3F"/>
    <w:rsid w:val="007A674F"/>
    <w:rsid w:val="007B1124"/>
    <w:rsid w:val="007B23FB"/>
    <w:rsid w:val="007C6CB0"/>
    <w:rsid w:val="007D0D5D"/>
    <w:rsid w:val="007D204A"/>
    <w:rsid w:val="007D7EDD"/>
    <w:rsid w:val="007E1A94"/>
    <w:rsid w:val="007E5731"/>
    <w:rsid w:val="007F1CC4"/>
    <w:rsid w:val="007F3813"/>
    <w:rsid w:val="007F6FBC"/>
    <w:rsid w:val="00800A54"/>
    <w:rsid w:val="00806484"/>
    <w:rsid w:val="008077FF"/>
    <w:rsid w:val="008150E6"/>
    <w:rsid w:val="00826670"/>
    <w:rsid w:val="0083238F"/>
    <w:rsid w:val="008340BC"/>
    <w:rsid w:val="008402B2"/>
    <w:rsid w:val="00843B34"/>
    <w:rsid w:val="0084489A"/>
    <w:rsid w:val="008468B4"/>
    <w:rsid w:val="00852ABC"/>
    <w:rsid w:val="00853142"/>
    <w:rsid w:val="008607EE"/>
    <w:rsid w:val="0086082F"/>
    <w:rsid w:val="0086347D"/>
    <w:rsid w:val="0088615A"/>
    <w:rsid w:val="00892F33"/>
    <w:rsid w:val="0089339D"/>
    <w:rsid w:val="008A1282"/>
    <w:rsid w:val="008A2FC9"/>
    <w:rsid w:val="008A32C1"/>
    <w:rsid w:val="008A4EF3"/>
    <w:rsid w:val="008B11D9"/>
    <w:rsid w:val="008B3303"/>
    <w:rsid w:val="008B5459"/>
    <w:rsid w:val="008D2679"/>
    <w:rsid w:val="008E0B9D"/>
    <w:rsid w:val="008E106C"/>
    <w:rsid w:val="008E7D09"/>
    <w:rsid w:val="008F3178"/>
    <w:rsid w:val="00900571"/>
    <w:rsid w:val="00900F11"/>
    <w:rsid w:val="00902497"/>
    <w:rsid w:val="00910B04"/>
    <w:rsid w:val="00921F04"/>
    <w:rsid w:val="00922B7F"/>
    <w:rsid w:val="009334A3"/>
    <w:rsid w:val="00942244"/>
    <w:rsid w:val="009503E2"/>
    <w:rsid w:val="00982146"/>
    <w:rsid w:val="00984E7E"/>
    <w:rsid w:val="0099012C"/>
    <w:rsid w:val="009A079F"/>
    <w:rsid w:val="009A3713"/>
    <w:rsid w:val="009B282A"/>
    <w:rsid w:val="009C0711"/>
    <w:rsid w:val="009C1235"/>
    <w:rsid w:val="009C4109"/>
    <w:rsid w:val="009D371A"/>
    <w:rsid w:val="009F081D"/>
    <w:rsid w:val="00A104FE"/>
    <w:rsid w:val="00A106BB"/>
    <w:rsid w:val="00A226D3"/>
    <w:rsid w:val="00A35468"/>
    <w:rsid w:val="00A37300"/>
    <w:rsid w:val="00A376B9"/>
    <w:rsid w:val="00A47DAE"/>
    <w:rsid w:val="00A50741"/>
    <w:rsid w:val="00A51437"/>
    <w:rsid w:val="00A558B3"/>
    <w:rsid w:val="00A60941"/>
    <w:rsid w:val="00A653B8"/>
    <w:rsid w:val="00A67C50"/>
    <w:rsid w:val="00A76F96"/>
    <w:rsid w:val="00A80257"/>
    <w:rsid w:val="00A82CA9"/>
    <w:rsid w:val="00A8706E"/>
    <w:rsid w:val="00AB1A64"/>
    <w:rsid w:val="00AB6FFE"/>
    <w:rsid w:val="00AB774A"/>
    <w:rsid w:val="00AC0A74"/>
    <w:rsid w:val="00AC6946"/>
    <w:rsid w:val="00AD0B69"/>
    <w:rsid w:val="00AE5390"/>
    <w:rsid w:val="00AF484F"/>
    <w:rsid w:val="00AF7928"/>
    <w:rsid w:val="00B13133"/>
    <w:rsid w:val="00B21769"/>
    <w:rsid w:val="00B21E8D"/>
    <w:rsid w:val="00B23FC5"/>
    <w:rsid w:val="00B34E66"/>
    <w:rsid w:val="00B46BCE"/>
    <w:rsid w:val="00B47898"/>
    <w:rsid w:val="00B60A7C"/>
    <w:rsid w:val="00B62F61"/>
    <w:rsid w:val="00B65C18"/>
    <w:rsid w:val="00B71330"/>
    <w:rsid w:val="00B80F72"/>
    <w:rsid w:val="00B87696"/>
    <w:rsid w:val="00B916A7"/>
    <w:rsid w:val="00B94F20"/>
    <w:rsid w:val="00B952EB"/>
    <w:rsid w:val="00BA4861"/>
    <w:rsid w:val="00BD4A35"/>
    <w:rsid w:val="00BD7CEC"/>
    <w:rsid w:val="00BE51E0"/>
    <w:rsid w:val="00BF50C1"/>
    <w:rsid w:val="00C21979"/>
    <w:rsid w:val="00C4297B"/>
    <w:rsid w:val="00C54402"/>
    <w:rsid w:val="00C56C70"/>
    <w:rsid w:val="00C5731D"/>
    <w:rsid w:val="00C66A56"/>
    <w:rsid w:val="00C819AA"/>
    <w:rsid w:val="00C846A9"/>
    <w:rsid w:val="00CA4BB2"/>
    <w:rsid w:val="00CC2712"/>
    <w:rsid w:val="00CD1CE4"/>
    <w:rsid w:val="00CD7C0B"/>
    <w:rsid w:val="00CE20DA"/>
    <w:rsid w:val="00CE3007"/>
    <w:rsid w:val="00CE7DEF"/>
    <w:rsid w:val="00CF24A5"/>
    <w:rsid w:val="00D004D0"/>
    <w:rsid w:val="00D02A61"/>
    <w:rsid w:val="00D04253"/>
    <w:rsid w:val="00D04986"/>
    <w:rsid w:val="00D06FAF"/>
    <w:rsid w:val="00D16E38"/>
    <w:rsid w:val="00D224DF"/>
    <w:rsid w:val="00D247D7"/>
    <w:rsid w:val="00D37B8D"/>
    <w:rsid w:val="00D53119"/>
    <w:rsid w:val="00D53752"/>
    <w:rsid w:val="00D61D51"/>
    <w:rsid w:val="00D710AD"/>
    <w:rsid w:val="00D87DD4"/>
    <w:rsid w:val="00D919B7"/>
    <w:rsid w:val="00DA52C5"/>
    <w:rsid w:val="00DB2E17"/>
    <w:rsid w:val="00DC20E8"/>
    <w:rsid w:val="00DC3862"/>
    <w:rsid w:val="00DE2270"/>
    <w:rsid w:val="00DE7BF6"/>
    <w:rsid w:val="00DF2642"/>
    <w:rsid w:val="00E0379F"/>
    <w:rsid w:val="00E05510"/>
    <w:rsid w:val="00E06678"/>
    <w:rsid w:val="00E06EE0"/>
    <w:rsid w:val="00E07AD4"/>
    <w:rsid w:val="00E12120"/>
    <w:rsid w:val="00E12602"/>
    <w:rsid w:val="00E17F17"/>
    <w:rsid w:val="00E208D7"/>
    <w:rsid w:val="00E232E7"/>
    <w:rsid w:val="00E3042E"/>
    <w:rsid w:val="00E328F5"/>
    <w:rsid w:val="00E3431F"/>
    <w:rsid w:val="00E50690"/>
    <w:rsid w:val="00E641D7"/>
    <w:rsid w:val="00E6622F"/>
    <w:rsid w:val="00E747CA"/>
    <w:rsid w:val="00E77D4E"/>
    <w:rsid w:val="00E864D2"/>
    <w:rsid w:val="00E91B92"/>
    <w:rsid w:val="00E94472"/>
    <w:rsid w:val="00EB25D0"/>
    <w:rsid w:val="00EB2E29"/>
    <w:rsid w:val="00EB7E64"/>
    <w:rsid w:val="00EC0C09"/>
    <w:rsid w:val="00EC378B"/>
    <w:rsid w:val="00ED335D"/>
    <w:rsid w:val="00ED5A59"/>
    <w:rsid w:val="00ED687C"/>
    <w:rsid w:val="00EE20EE"/>
    <w:rsid w:val="00EE5059"/>
    <w:rsid w:val="00EE5AAB"/>
    <w:rsid w:val="00EE5C6F"/>
    <w:rsid w:val="00EE6107"/>
    <w:rsid w:val="00EF1923"/>
    <w:rsid w:val="00EF38FB"/>
    <w:rsid w:val="00F2149A"/>
    <w:rsid w:val="00F25663"/>
    <w:rsid w:val="00F25CA0"/>
    <w:rsid w:val="00F36A84"/>
    <w:rsid w:val="00F40F01"/>
    <w:rsid w:val="00F4196A"/>
    <w:rsid w:val="00F54CE7"/>
    <w:rsid w:val="00F648A9"/>
    <w:rsid w:val="00F65F35"/>
    <w:rsid w:val="00F7587B"/>
    <w:rsid w:val="00F800C0"/>
    <w:rsid w:val="00F80868"/>
    <w:rsid w:val="00F867A3"/>
    <w:rsid w:val="00FA61FB"/>
    <w:rsid w:val="00FB02AC"/>
    <w:rsid w:val="00FB2AC3"/>
    <w:rsid w:val="00FC5F5E"/>
    <w:rsid w:val="00FC7D79"/>
    <w:rsid w:val="00FE0340"/>
    <w:rsid w:val="00FE687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8102A"/>
  <w15:docId w15:val="{DBCA83EA-C916-438C-B028-6087AE06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84F"/>
  </w:style>
  <w:style w:type="paragraph" w:styleId="Heading2">
    <w:name w:val="heading 2"/>
    <w:basedOn w:val="Normal"/>
    <w:link w:val="Heading2Char"/>
    <w:uiPriority w:val="99"/>
    <w:qFormat/>
    <w:rsid w:val="0003202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54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04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350"/>
    <w:pPr>
      <w:ind w:left="720"/>
      <w:contextualSpacing/>
    </w:pPr>
  </w:style>
  <w:style w:type="paragraph" w:styleId="Header">
    <w:name w:val="header"/>
    <w:basedOn w:val="Normal"/>
    <w:link w:val="HeaderChar"/>
    <w:rsid w:val="0070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5A74"/>
  </w:style>
  <w:style w:type="paragraph" w:styleId="Footer">
    <w:name w:val="footer"/>
    <w:basedOn w:val="Normal"/>
    <w:link w:val="FooterChar"/>
    <w:uiPriority w:val="99"/>
    <w:rsid w:val="00705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74"/>
  </w:style>
  <w:style w:type="character" w:styleId="Emphasis">
    <w:name w:val="Emphasis"/>
    <w:aliases w:val="2nd heading,heading 2"/>
    <w:qFormat/>
    <w:rsid w:val="00F80868"/>
    <w:rPr>
      <w:rFonts w:ascii="Verdana" w:hAnsi="Verdana"/>
      <w:b/>
      <w:i w:val="0"/>
      <w:iCs/>
      <w:sz w:val="24"/>
    </w:rPr>
  </w:style>
  <w:style w:type="character" w:styleId="Hyperlink">
    <w:name w:val="Hyperlink"/>
    <w:rsid w:val="008B11D9"/>
    <w:rPr>
      <w:color w:val="0000FF"/>
      <w:u w:val="single"/>
    </w:rPr>
  </w:style>
  <w:style w:type="paragraph" w:styleId="NormalWeb">
    <w:name w:val="Normal (Web)"/>
    <w:basedOn w:val="Normal"/>
    <w:uiPriority w:val="99"/>
    <w:rsid w:val="00C5731D"/>
    <w:pPr>
      <w:spacing w:before="100" w:beforeAutospacing="1" w:after="100" w:afterAutospacing="1"/>
    </w:pPr>
    <w:rPr>
      <w:rFonts w:ascii="Times New Roman" w:hAnsi="Times New Roman"/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D01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1A4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A47D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4EE9"/>
  </w:style>
  <w:style w:type="character" w:styleId="UnresolvedMention">
    <w:name w:val="Unresolved Mention"/>
    <w:basedOn w:val="DefaultParagraphFont"/>
    <w:uiPriority w:val="99"/>
    <w:semiHidden/>
    <w:unhideWhenUsed/>
    <w:rsid w:val="00676F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52154"/>
    <w:pPr>
      <w:widowControl w:val="0"/>
      <w:autoSpaceDE w:val="0"/>
      <w:autoSpaceDN w:val="0"/>
      <w:ind w:left="14"/>
    </w:pPr>
    <w:rPr>
      <w:rFonts w:eastAsia="Verdana" w:cs="Verdana"/>
      <w:sz w:val="22"/>
      <w:szCs w:val="22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3202D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A104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C544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2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4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EDC2-2E0C-48E7-841C-AB43A09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1480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Sherrett</dc:creator>
  <cp:lastModifiedBy>Caroline Nuttall</cp:lastModifiedBy>
  <cp:revision>2</cp:revision>
  <cp:lastPrinted>2019-02-21T12:31:00Z</cp:lastPrinted>
  <dcterms:created xsi:type="dcterms:W3CDTF">2022-07-06T15:59:00Z</dcterms:created>
  <dcterms:modified xsi:type="dcterms:W3CDTF">2022-07-06T15:59:00Z</dcterms:modified>
</cp:coreProperties>
</file>