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4" w:type="dxa"/>
        <w:tblInd w:w="-998" w:type="dxa"/>
        <w:tblLook w:val="04A0" w:firstRow="1" w:lastRow="0" w:firstColumn="1" w:lastColumn="0" w:noHBand="0" w:noVBand="1"/>
      </w:tblPr>
      <w:tblGrid>
        <w:gridCol w:w="1277"/>
        <w:gridCol w:w="1495"/>
        <w:gridCol w:w="1198"/>
        <w:gridCol w:w="670"/>
        <w:gridCol w:w="134"/>
        <w:gridCol w:w="3874"/>
        <w:gridCol w:w="1956"/>
      </w:tblGrid>
      <w:tr w:rsidR="00E05510" w14:paraId="73CC3223" w14:textId="77777777" w:rsidTr="00723CF2">
        <w:trPr>
          <w:trHeight w:val="1562"/>
        </w:trPr>
        <w:tc>
          <w:tcPr>
            <w:tcW w:w="4774" w:type="dxa"/>
            <w:gridSpan w:val="5"/>
            <w:vAlign w:val="center"/>
          </w:tcPr>
          <w:p w14:paraId="32891FB6" w14:textId="77777777" w:rsidR="00E05510" w:rsidRPr="007C2BEA" w:rsidRDefault="00E05510" w:rsidP="002E4524">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830" w:type="dxa"/>
            <w:gridSpan w:val="2"/>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AB313B7" w:rsidR="00E05510" w:rsidRPr="00155350" w:rsidRDefault="00E05510" w:rsidP="00590E53">
            <w:pPr>
              <w:jc w:val="right"/>
              <w:rPr>
                <w:rFonts w:cs="Verdana"/>
                <w:sz w:val="32"/>
                <w:szCs w:val="32"/>
              </w:rPr>
            </w:pPr>
            <w:r>
              <w:rPr>
                <w:rFonts w:cs="Verdana"/>
                <w:sz w:val="32"/>
                <w:szCs w:val="32"/>
              </w:rPr>
              <w:t>Policy</w:t>
            </w:r>
          </w:p>
        </w:tc>
      </w:tr>
      <w:tr w:rsidR="00155350" w14:paraId="3AEE53EF" w14:textId="77777777" w:rsidTr="00723CF2">
        <w:trPr>
          <w:trHeight w:val="962"/>
        </w:trPr>
        <w:tc>
          <w:tcPr>
            <w:tcW w:w="10604" w:type="dxa"/>
            <w:gridSpan w:val="7"/>
            <w:vAlign w:val="center"/>
          </w:tcPr>
          <w:p w14:paraId="6C0946CF" w14:textId="76D15DB6" w:rsidR="00155350" w:rsidRPr="00155350" w:rsidRDefault="007D608E" w:rsidP="00155350">
            <w:pPr>
              <w:rPr>
                <w:b/>
                <w:sz w:val="32"/>
                <w:szCs w:val="32"/>
              </w:rPr>
            </w:pPr>
            <w:r>
              <w:rPr>
                <w:b/>
                <w:sz w:val="32"/>
                <w:szCs w:val="32"/>
              </w:rPr>
              <w:t xml:space="preserve">Working Time Regulations </w:t>
            </w:r>
            <w:r w:rsidR="00155350">
              <w:rPr>
                <w:b/>
                <w:sz w:val="32"/>
                <w:szCs w:val="32"/>
              </w:rPr>
              <w:t>Policy</w:t>
            </w:r>
            <w:r w:rsidR="00F80868">
              <w:rPr>
                <w:b/>
                <w:sz w:val="32"/>
                <w:szCs w:val="32"/>
              </w:rPr>
              <w:t xml:space="preserve"> Statement</w:t>
            </w:r>
          </w:p>
        </w:tc>
      </w:tr>
      <w:tr w:rsidR="00155350" w14:paraId="3DF5C957" w14:textId="77777777" w:rsidTr="00723CF2">
        <w:tc>
          <w:tcPr>
            <w:tcW w:w="2772" w:type="dxa"/>
            <w:gridSpan w:val="2"/>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832" w:type="dxa"/>
            <w:gridSpan w:val="5"/>
          </w:tcPr>
          <w:p w14:paraId="0FFEA729" w14:textId="540A5539" w:rsidR="00FB2AC3" w:rsidRDefault="00FB2AC3" w:rsidP="00650D3E">
            <w:pPr>
              <w:rPr>
                <w:sz w:val="22"/>
                <w:szCs w:val="22"/>
              </w:rPr>
            </w:pPr>
            <w:r>
              <w:rPr>
                <w:sz w:val="22"/>
                <w:szCs w:val="22"/>
              </w:rPr>
              <w:t>Director of People &amp; Culture</w:t>
            </w:r>
          </w:p>
          <w:p w14:paraId="57965989" w14:textId="638F0757" w:rsidR="00155350" w:rsidRPr="001117C8" w:rsidRDefault="00155350" w:rsidP="00650D3E">
            <w:pPr>
              <w:rPr>
                <w:i/>
                <w:iCs/>
                <w:color w:val="FF0000"/>
                <w:sz w:val="22"/>
                <w:szCs w:val="22"/>
              </w:rPr>
            </w:pPr>
          </w:p>
        </w:tc>
      </w:tr>
      <w:tr w:rsidR="00155350" w14:paraId="0DBDFF58" w14:textId="77777777" w:rsidTr="00723CF2">
        <w:tc>
          <w:tcPr>
            <w:tcW w:w="2772" w:type="dxa"/>
            <w:gridSpan w:val="2"/>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832" w:type="dxa"/>
            <w:gridSpan w:val="5"/>
          </w:tcPr>
          <w:p w14:paraId="2DDA5CAE" w14:textId="146AE357" w:rsidR="00FB2AC3" w:rsidRPr="007D0D5D" w:rsidRDefault="003125EF">
            <w:pPr>
              <w:rPr>
                <w:sz w:val="22"/>
                <w:szCs w:val="22"/>
              </w:rPr>
            </w:pPr>
            <w:r>
              <w:rPr>
                <w:sz w:val="22"/>
                <w:szCs w:val="22"/>
              </w:rPr>
              <w:t xml:space="preserve">Employee Relations &amp; </w:t>
            </w:r>
            <w:r w:rsidR="00FB2AC3" w:rsidRPr="007D0D5D">
              <w:rPr>
                <w:sz w:val="22"/>
                <w:szCs w:val="22"/>
              </w:rPr>
              <w:t>Policy Manager</w:t>
            </w:r>
          </w:p>
          <w:p w14:paraId="5EB98206" w14:textId="2DE7A097" w:rsidR="00155350" w:rsidRPr="001117C8" w:rsidRDefault="00155350">
            <w:pPr>
              <w:rPr>
                <w:i/>
                <w:iCs/>
                <w:sz w:val="22"/>
                <w:szCs w:val="22"/>
              </w:rPr>
            </w:pPr>
          </w:p>
        </w:tc>
      </w:tr>
      <w:tr w:rsidR="00155350" w14:paraId="3E804418" w14:textId="77777777" w:rsidTr="00723CF2">
        <w:tc>
          <w:tcPr>
            <w:tcW w:w="2772" w:type="dxa"/>
            <w:gridSpan w:val="2"/>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832" w:type="dxa"/>
            <w:gridSpan w:val="5"/>
          </w:tcPr>
          <w:p w14:paraId="19D5EA0A" w14:textId="45ADFCD8" w:rsidR="00155350" w:rsidRPr="0012168C" w:rsidRDefault="007A1BF1">
            <w:pPr>
              <w:rPr>
                <w:sz w:val="22"/>
                <w:szCs w:val="22"/>
              </w:rPr>
            </w:pPr>
            <w:r>
              <w:rPr>
                <w:sz w:val="22"/>
                <w:szCs w:val="22"/>
              </w:rPr>
              <w:t xml:space="preserve">1 August </w:t>
            </w:r>
            <w:r w:rsidR="00F80868" w:rsidRPr="0012168C">
              <w:rPr>
                <w:sz w:val="22"/>
                <w:szCs w:val="22"/>
              </w:rPr>
              <w:t>2022</w:t>
            </w:r>
            <w:r w:rsidR="001117C8" w:rsidRPr="0012168C">
              <w:rPr>
                <w:sz w:val="22"/>
                <w:szCs w:val="22"/>
              </w:rPr>
              <w:t xml:space="preserve">  </w:t>
            </w:r>
          </w:p>
        </w:tc>
      </w:tr>
      <w:tr w:rsidR="00155350" w14:paraId="61DECDB3" w14:textId="77777777" w:rsidTr="00723CF2">
        <w:tc>
          <w:tcPr>
            <w:tcW w:w="2772" w:type="dxa"/>
            <w:gridSpan w:val="2"/>
          </w:tcPr>
          <w:p w14:paraId="59C12AFA" w14:textId="77777777" w:rsidR="00155350" w:rsidRPr="00155350" w:rsidRDefault="00155350">
            <w:pPr>
              <w:rPr>
                <w:b/>
                <w:sz w:val="22"/>
                <w:szCs w:val="22"/>
              </w:rPr>
            </w:pPr>
            <w:r w:rsidRPr="00155350">
              <w:rPr>
                <w:b/>
                <w:sz w:val="22"/>
                <w:szCs w:val="22"/>
              </w:rPr>
              <w:t>Date for Review:</w:t>
            </w:r>
          </w:p>
        </w:tc>
        <w:tc>
          <w:tcPr>
            <w:tcW w:w="7832" w:type="dxa"/>
            <w:gridSpan w:val="5"/>
          </w:tcPr>
          <w:p w14:paraId="629AA5FD" w14:textId="55E1C6CC" w:rsidR="00155350" w:rsidRPr="0012168C" w:rsidRDefault="007A1BF1">
            <w:pPr>
              <w:rPr>
                <w:sz w:val="22"/>
                <w:szCs w:val="22"/>
              </w:rPr>
            </w:pPr>
            <w:r>
              <w:rPr>
                <w:sz w:val="22"/>
                <w:szCs w:val="22"/>
              </w:rPr>
              <w:t>August 2025</w:t>
            </w:r>
            <w:r w:rsidR="00F80868" w:rsidRPr="0012168C">
              <w:rPr>
                <w:sz w:val="22"/>
                <w:szCs w:val="22"/>
              </w:rPr>
              <w:t xml:space="preserve"> </w:t>
            </w:r>
            <w:r w:rsidR="00770813" w:rsidRPr="0012168C">
              <w:rPr>
                <w:sz w:val="22"/>
                <w:szCs w:val="22"/>
              </w:rPr>
              <w:t xml:space="preserve"> </w:t>
            </w:r>
          </w:p>
        </w:tc>
      </w:tr>
      <w:tr w:rsidR="00E05510" w14:paraId="39A557CD" w14:textId="77777777" w:rsidTr="00723CF2">
        <w:tc>
          <w:tcPr>
            <w:tcW w:w="2772" w:type="dxa"/>
            <w:gridSpan w:val="2"/>
          </w:tcPr>
          <w:p w14:paraId="71543BA4" w14:textId="2A6E42F6" w:rsidR="00E05510" w:rsidRPr="00CD09EA" w:rsidRDefault="00E05510">
            <w:pPr>
              <w:rPr>
                <w:b/>
                <w:sz w:val="22"/>
                <w:szCs w:val="22"/>
              </w:rPr>
            </w:pPr>
            <w:bookmarkStart w:id="0" w:name="_Hlk111466188"/>
            <w:r w:rsidRPr="00CD09EA">
              <w:rPr>
                <w:b/>
                <w:sz w:val="22"/>
                <w:szCs w:val="22"/>
              </w:rPr>
              <w:t>Distribution</w:t>
            </w:r>
          </w:p>
        </w:tc>
        <w:tc>
          <w:tcPr>
            <w:tcW w:w="7832" w:type="dxa"/>
            <w:gridSpan w:val="5"/>
          </w:tcPr>
          <w:p w14:paraId="4780F78B" w14:textId="51A0D3F9" w:rsidR="009A079F" w:rsidRPr="00CD09EA" w:rsidRDefault="00413916" w:rsidP="009A079F">
            <w:pPr>
              <w:rPr>
                <w:color w:val="FF0000"/>
                <w:sz w:val="22"/>
                <w:szCs w:val="22"/>
              </w:rPr>
            </w:pPr>
            <w:r w:rsidRPr="00CD09EA">
              <w:rPr>
                <w:sz w:val="22"/>
                <w:szCs w:val="22"/>
              </w:rPr>
              <w:t>Not co</w:t>
            </w:r>
            <w:r w:rsidR="001C53FD" w:rsidRPr="00CD09EA">
              <w:rPr>
                <w:sz w:val="22"/>
                <w:szCs w:val="22"/>
              </w:rPr>
              <w:t xml:space="preserve">nfidential </w:t>
            </w:r>
            <w:r w:rsidRPr="00CD09EA">
              <w:rPr>
                <w:sz w:val="22"/>
                <w:szCs w:val="22"/>
              </w:rPr>
              <w:t>- f</w:t>
            </w:r>
            <w:r w:rsidR="00F80868" w:rsidRPr="00CD09EA">
              <w:rPr>
                <w:sz w:val="22"/>
                <w:szCs w:val="22"/>
              </w:rPr>
              <w:t xml:space="preserve">or internal </w:t>
            </w:r>
            <w:r w:rsidR="00CE6564" w:rsidRPr="00CD09EA">
              <w:rPr>
                <w:sz w:val="22"/>
                <w:szCs w:val="22"/>
              </w:rPr>
              <w:t xml:space="preserve">or external </w:t>
            </w:r>
            <w:r w:rsidR="00F80868" w:rsidRPr="00CD09EA">
              <w:rPr>
                <w:sz w:val="22"/>
                <w:szCs w:val="22"/>
              </w:rPr>
              <w:t xml:space="preserve">use </w:t>
            </w:r>
            <w:r w:rsidR="001A18A6" w:rsidRPr="00CD09EA">
              <w:rPr>
                <w:sz w:val="22"/>
                <w:szCs w:val="22"/>
              </w:rPr>
              <w:t>as required.</w:t>
            </w:r>
          </w:p>
        </w:tc>
      </w:tr>
      <w:tr w:rsidR="00155350" w14:paraId="6017FCC3" w14:textId="77777777" w:rsidTr="00723CF2">
        <w:tc>
          <w:tcPr>
            <w:tcW w:w="10604" w:type="dxa"/>
            <w:gridSpan w:val="7"/>
            <w:shd w:val="clear" w:color="auto" w:fill="92D050"/>
          </w:tcPr>
          <w:p w14:paraId="2F2CADE5" w14:textId="77777777" w:rsidR="00155350" w:rsidRPr="00155350" w:rsidRDefault="00155350" w:rsidP="00155350">
            <w:pPr>
              <w:pStyle w:val="ListParagraph"/>
              <w:numPr>
                <w:ilvl w:val="0"/>
                <w:numId w:val="2"/>
              </w:numPr>
              <w:ind w:left="284" w:hanging="284"/>
              <w:rPr>
                <w:b/>
                <w:sz w:val="22"/>
                <w:szCs w:val="22"/>
              </w:rPr>
            </w:pPr>
            <w:bookmarkStart w:id="1" w:name="_Hlk111466170"/>
            <w:bookmarkEnd w:id="0"/>
            <w:r w:rsidRPr="00155350">
              <w:rPr>
                <w:b/>
                <w:sz w:val="22"/>
                <w:szCs w:val="22"/>
              </w:rPr>
              <w:t>Purpose</w:t>
            </w:r>
          </w:p>
        </w:tc>
      </w:tr>
      <w:bookmarkEnd w:id="1"/>
      <w:tr w:rsidR="00155350" w14:paraId="6C792C16" w14:textId="77777777" w:rsidTr="00723CF2">
        <w:tc>
          <w:tcPr>
            <w:tcW w:w="10604" w:type="dxa"/>
            <w:gridSpan w:val="7"/>
          </w:tcPr>
          <w:p w14:paraId="01823092" w14:textId="64951CD1" w:rsidR="007A1BF1" w:rsidRPr="00C05C1B" w:rsidRDefault="007A1BF1" w:rsidP="007A1BF1">
            <w:pPr>
              <w:rPr>
                <w:sz w:val="22"/>
                <w:szCs w:val="22"/>
              </w:rPr>
            </w:pPr>
            <w:r w:rsidRPr="00C05C1B">
              <w:rPr>
                <w:sz w:val="22"/>
                <w:szCs w:val="22"/>
              </w:rPr>
              <w:t>Barnardo’s is committed to providing a healthy working environment for all staff and facilitating a health</w:t>
            </w:r>
            <w:r>
              <w:rPr>
                <w:sz w:val="22"/>
                <w:szCs w:val="22"/>
              </w:rPr>
              <w:t>y</w:t>
            </w:r>
            <w:r w:rsidRPr="00C05C1B">
              <w:rPr>
                <w:sz w:val="22"/>
                <w:szCs w:val="22"/>
              </w:rPr>
              <w:t xml:space="preserve"> work/li</w:t>
            </w:r>
            <w:r w:rsidR="00511F18">
              <w:rPr>
                <w:sz w:val="22"/>
                <w:szCs w:val="22"/>
              </w:rPr>
              <w:t>f</w:t>
            </w:r>
            <w:r w:rsidRPr="00C05C1B">
              <w:rPr>
                <w:sz w:val="22"/>
                <w:szCs w:val="22"/>
              </w:rPr>
              <w:t xml:space="preserve">e balance via our </w:t>
            </w:r>
            <w:hyperlink r:id="rId9" w:history="1">
              <w:r w:rsidRPr="00715759">
                <w:rPr>
                  <w:rStyle w:val="Hyperlink"/>
                  <w:sz w:val="22"/>
                  <w:szCs w:val="22"/>
                </w:rPr>
                <w:t>Hybrid Workplace Offer</w:t>
              </w:r>
            </w:hyperlink>
            <w:r w:rsidRPr="00C05C1B">
              <w:rPr>
                <w:sz w:val="22"/>
                <w:szCs w:val="22"/>
              </w:rPr>
              <w:t>.</w:t>
            </w:r>
          </w:p>
          <w:p w14:paraId="7A8E0DE1" w14:textId="77777777" w:rsidR="007A1BF1" w:rsidRDefault="007A1BF1" w:rsidP="007A1BF1">
            <w:pPr>
              <w:rPr>
                <w:sz w:val="22"/>
                <w:szCs w:val="22"/>
              </w:rPr>
            </w:pPr>
          </w:p>
          <w:p w14:paraId="36B75D76" w14:textId="77777777" w:rsidR="007A1BF1" w:rsidRDefault="007A1BF1" w:rsidP="007A1BF1">
            <w:pPr>
              <w:rPr>
                <w:sz w:val="22"/>
                <w:szCs w:val="22"/>
              </w:rPr>
            </w:pPr>
            <w:r>
              <w:rPr>
                <w:sz w:val="22"/>
                <w:szCs w:val="22"/>
              </w:rPr>
              <w:t>The Working Time Regulations 199</w:t>
            </w:r>
            <w:r w:rsidRPr="00E20D53">
              <w:rPr>
                <w:sz w:val="22"/>
                <w:szCs w:val="22"/>
              </w:rPr>
              <w:t>8</w:t>
            </w:r>
            <w:r>
              <w:rPr>
                <w:sz w:val="22"/>
                <w:szCs w:val="22"/>
              </w:rPr>
              <w:t xml:space="preserve">, as amended, sometimes called the ’working time directive’, </w:t>
            </w:r>
            <w:r w:rsidRPr="00E20D53">
              <w:rPr>
                <w:sz w:val="22"/>
                <w:szCs w:val="22"/>
              </w:rPr>
              <w:t>came into effect on 1 October 1998</w:t>
            </w:r>
            <w:r>
              <w:rPr>
                <w:sz w:val="22"/>
                <w:szCs w:val="22"/>
              </w:rPr>
              <w:t xml:space="preserve"> </w:t>
            </w:r>
            <w:r w:rsidRPr="00E20D53">
              <w:rPr>
                <w:sz w:val="22"/>
                <w:szCs w:val="22"/>
              </w:rPr>
              <w:t xml:space="preserve">and contain a number of provisions covering maximum weekly hours, daily/weekly rest periods and rest breaks, night work and paid annual leave.  Information on some of the key provisions </w:t>
            </w:r>
            <w:r>
              <w:rPr>
                <w:sz w:val="22"/>
                <w:szCs w:val="22"/>
              </w:rPr>
              <w:t xml:space="preserve">affecting Barnardo’s are </w:t>
            </w:r>
            <w:r w:rsidRPr="00E20D53">
              <w:rPr>
                <w:sz w:val="22"/>
                <w:szCs w:val="22"/>
              </w:rPr>
              <w:t xml:space="preserve">summarised below.  </w:t>
            </w:r>
          </w:p>
          <w:p w14:paraId="33894C76" w14:textId="77777777" w:rsidR="007A1BF1" w:rsidRDefault="007A1BF1" w:rsidP="007A1BF1">
            <w:pPr>
              <w:rPr>
                <w:sz w:val="22"/>
                <w:szCs w:val="22"/>
              </w:rPr>
            </w:pPr>
          </w:p>
          <w:p w14:paraId="3547277B" w14:textId="77777777" w:rsidR="007A1BF1" w:rsidRPr="000105B2" w:rsidRDefault="007A1BF1" w:rsidP="007A1BF1">
            <w:pPr>
              <w:rPr>
                <w:color w:val="FF0000"/>
                <w:sz w:val="22"/>
                <w:szCs w:val="22"/>
              </w:rPr>
            </w:pPr>
            <w:r w:rsidRPr="00E20D53">
              <w:rPr>
                <w:sz w:val="22"/>
                <w:szCs w:val="22"/>
              </w:rPr>
              <w:t>Further information on the Regulations can be obtained from your</w:t>
            </w:r>
            <w:r>
              <w:rPr>
                <w:sz w:val="22"/>
                <w:szCs w:val="22"/>
              </w:rPr>
              <w:t xml:space="preserve"> People Team.</w:t>
            </w:r>
          </w:p>
          <w:p w14:paraId="64F37FC2" w14:textId="0852C8BB" w:rsidR="007A1BF1" w:rsidRDefault="007A1BF1" w:rsidP="007A1BF1"/>
        </w:tc>
      </w:tr>
      <w:tr w:rsidR="00E3431F" w14:paraId="60C92BA2" w14:textId="77777777" w:rsidTr="00723CF2">
        <w:tc>
          <w:tcPr>
            <w:tcW w:w="10604" w:type="dxa"/>
            <w:gridSpan w:val="7"/>
            <w:shd w:val="clear" w:color="auto" w:fill="92D050"/>
          </w:tcPr>
          <w:p w14:paraId="1AAC586E" w14:textId="3FDF88E0" w:rsidR="00E3431F" w:rsidRPr="00155350" w:rsidRDefault="00E3431F" w:rsidP="00664D53">
            <w:pPr>
              <w:pStyle w:val="ListParagraph"/>
              <w:numPr>
                <w:ilvl w:val="0"/>
                <w:numId w:val="2"/>
              </w:numPr>
              <w:ind w:left="284" w:hanging="284"/>
              <w:rPr>
                <w:b/>
                <w:sz w:val="22"/>
                <w:szCs w:val="22"/>
              </w:rPr>
            </w:pPr>
            <w:r>
              <w:rPr>
                <w:b/>
                <w:sz w:val="22"/>
                <w:szCs w:val="22"/>
              </w:rPr>
              <w:t>Policy</w:t>
            </w:r>
            <w:r w:rsidR="00C5731D">
              <w:rPr>
                <w:b/>
                <w:sz w:val="22"/>
                <w:szCs w:val="22"/>
              </w:rPr>
              <w:t xml:space="preserve"> </w:t>
            </w:r>
          </w:p>
        </w:tc>
      </w:tr>
      <w:tr w:rsidR="00A56FFB" w14:paraId="0E27CB3E" w14:textId="77777777" w:rsidTr="00723CF2">
        <w:tc>
          <w:tcPr>
            <w:tcW w:w="10604" w:type="dxa"/>
            <w:gridSpan w:val="7"/>
          </w:tcPr>
          <w:p w14:paraId="408CF42E" w14:textId="77777777" w:rsidR="00A56FFB" w:rsidRPr="006D3402" w:rsidRDefault="00A56FFB" w:rsidP="00A56FFB">
            <w:pPr>
              <w:pStyle w:val="ListParagraph"/>
              <w:numPr>
                <w:ilvl w:val="0"/>
                <w:numId w:val="29"/>
              </w:numPr>
              <w:rPr>
                <w:rStyle w:val="Emphasis"/>
                <w:sz w:val="22"/>
                <w:szCs w:val="22"/>
              </w:rPr>
            </w:pPr>
            <w:r w:rsidRPr="006D3402">
              <w:rPr>
                <w:rStyle w:val="Emphasis"/>
                <w:sz w:val="22"/>
                <w:szCs w:val="22"/>
              </w:rPr>
              <w:t>Working time limits – “the 48-hour week”</w:t>
            </w:r>
          </w:p>
          <w:p w14:paraId="7A805AD4" w14:textId="77777777" w:rsidR="00A56FFB" w:rsidRPr="006D3402" w:rsidRDefault="00A56FFB" w:rsidP="00A56FFB">
            <w:pPr>
              <w:rPr>
                <w:sz w:val="22"/>
                <w:szCs w:val="22"/>
              </w:rPr>
            </w:pPr>
          </w:p>
          <w:p w14:paraId="29297A37" w14:textId="77777777" w:rsidR="00A56FFB" w:rsidRPr="006D3402" w:rsidRDefault="00A56FFB" w:rsidP="00A56FFB">
            <w:pPr>
              <w:ind w:left="360"/>
              <w:rPr>
                <w:sz w:val="22"/>
                <w:szCs w:val="22"/>
              </w:rPr>
            </w:pPr>
            <w:r w:rsidRPr="006D3402">
              <w:rPr>
                <w:sz w:val="22"/>
                <w:szCs w:val="22"/>
              </w:rPr>
              <w:t xml:space="preserve">Maximum weekly hours for the majority of workers should not exceed, on average, 48 hours calculated over a 17-week reference period. </w:t>
            </w:r>
          </w:p>
          <w:p w14:paraId="37426BEB" w14:textId="77777777" w:rsidR="00A56FFB" w:rsidRPr="006D3402" w:rsidRDefault="00A56FFB" w:rsidP="00A56FFB">
            <w:pPr>
              <w:ind w:left="360"/>
              <w:rPr>
                <w:sz w:val="22"/>
                <w:szCs w:val="22"/>
              </w:rPr>
            </w:pPr>
          </w:p>
          <w:p w14:paraId="0A32EB58" w14:textId="77777777" w:rsidR="00A56FFB" w:rsidRPr="006D3402" w:rsidRDefault="00A56FFB" w:rsidP="00A56FFB">
            <w:pPr>
              <w:ind w:left="360"/>
              <w:rPr>
                <w:sz w:val="22"/>
                <w:szCs w:val="22"/>
              </w:rPr>
            </w:pPr>
            <w:r w:rsidRPr="006D3402">
              <w:rPr>
                <w:sz w:val="22"/>
                <w:szCs w:val="22"/>
              </w:rPr>
              <w:t xml:space="preserve">In the case of young workers (16 &amp; 17 years) this is restricted to 40 hours a week and 8 hours a day.  These totals also include hours worked for other employers. Young workers cannot opt out of the 40-hour limit.  </w:t>
            </w:r>
          </w:p>
          <w:p w14:paraId="02475087" w14:textId="77777777" w:rsidR="00A322ED" w:rsidRDefault="00A322ED" w:rsidP="00A56FFB">
            <w:pPr>
              <w:ind w:left="360"/>
              <w:rPr>
                <w:sz w:val="22"/>
                <w:szCs w:val="22"/>
              </w:rPr>
            </w:pPr>
          </w:p>
          <w:p w14:paraId="5E7B41B2" w14:textId="6403D676" w:rsidR="00A56FFB" w:rsidRPr="006D3402" w:rsidRDefault="00A56FFB" w:rsidP="00A56FFB">
            <w:pPr>
              <w:ind w:left="360"/>
              <w:rPr>
                <w:sz w:val="22"/>
                <w:szCs w:val="22"/>
              </w:rPr>
            </w:pPr>
            <w:r w:rsidRPr="006D3402">
              <w:rPr>
                <w:sz w:val="22"/>
                <w:szCs w:val="22"/>
              </w:rPr>
              <w:t>There are a number of exceptions to what counts as working time, including unauthorised overtime and on-call time when not working and flexibilities around how the hours are averaged in some cases.  Individual letters of appointment give details of working hours and these are compliant with the Regulations.</w:t>
            </w:r>
          </w:p>
          <w:p w14:paraId="39942261" w14:textId="77777777" w:rsidR="00A56FFB" w:rsidRPr="006D3402" w:rsidRDefault="00A56FFB" w:rsidP="00A56FFB">
            <w:pPr>
              <w:ind w:left="360"/>
              <w:rPr>
                <w:sz w:val="22"/>
                <w:szCs w:val="22"/>
              </w:rPr>
            </w:pPr>
          </w:p>
          <w:p w14:paraId="02F7BF7B" w14:textId="77777777" w:rsidR="00A56FFB" w:rsidRPr="006D3402" w:rsidRDefault="00A56FFB" w:rsidP="00A56FFB">
            <w:pPr>
              <w:ind w:left="360"/>
              <w:rPr>
                <w:sz w:val="22"/>
                <w:szCs w:val="22"/>
              </w:rPr>
            </w:pPr>
            <w:r w:rsidRPr="006D3402">
              <w:rPr>
                <w:sz w:val="22"/>
                <w:szCs w:val="22"/>
              </w:rPr>
              <w:t>There are a number of restrictions in relation to young workers and advice should be sought from line managers or from your People Team.</w:t>
            </w:r>
          </w:p>
          <w:p w14:paraId="757975CC" w14:textId="77777777" w:rsidR="00A56FFB" w:rsidRPr="006D3402" w:rsidRDefault="00A56FFB" w:rsidP="00A56FFB">
            <w:pPr>
              <w:ind w:left="360"/>
              <w:rPr>
                <w:sz w:val="22"/>
                <w:szCs w:val="22"/>
              </w:rPr>
            </w:pPr>
          </w:p>
          <w:p w14:paraId="4FA90214" w14:textId="77777777" w:rsidR="00A56FFB" w:rsidRPr="006D3402" w:rsidRDefault="00A56FFB" w:rsidP="00A56FFB">
            <w:pPr>
              <w:ind w:left="360"/>
              <w:rPr>
                <w:b/>
                <w:iCs/>
                <w:sz w:val="22"/>
                <w:szCs w:val="22"/>
              </w:rPr>
            </w:pPr>
            <w:r w:rsidRPr="006D3402">
              <w:rPr>
                <w:sz w:val="22"/>
                <w:szCs w:val="22"/>
              </w:rPr>
              <w:lastRenderedPageBreak/>
              <w:t xml:space="preserve">Although it is possible for individual workers to agree to “opt out” of the maximum average weekly hours, Barnardo’s senior management decided that, as an organisation, we would not wish individuals to exceed the maximum and should not initiate any opt outs.  However, if a worker chooses to have more than one job (either with Barnardo’s or with another employer) and believes this may cause them to exceed the maximum, they should be asked to complete the Opt Out Form </w:t>
            </w:r>
            <w:hyperlink r:id="rId10" w:history="1">
              <w:r w:rsidRPr="006D3402">
                <w:rPr>
                  <w:color w:val="0000FF"/>
                  <w:sz w:val="22"/>
                  <w:szCs w:val="22"/>
                  <w:u w:val="single"/>
                </w:rPr>
                <w:t>Working times regulations policy | Inside Barnardos</w:t>
              </w:r>
            </w:hyperlink>
            <w:r w:rsidRPr="006D3402">
              <w:rPr>
                <w:sz w:val="22"/>
                <w:szCs w:val="22"/>
              </w:rPr>
              <w:t>.  A worker who has opted out can give notice to opt in again.</w:t>
            </w:r>
          </w:p>
          <w:p w14:paraId="21C1AA7C" w14:textId="77777777" w:rsidR="00A56FFB" w:rsidRPr="006D3402" w:rsidRDefault="00A56FFB" w:rsidP="00A56FFB">
            <w:pPr>
              <w:rPr>
                <w:rStyle w:val="Emphasis"/>
                <w:sz w:val="22"/>
                <w:szCs w:val="22"/>
              </w:rPr>
            </w:pPr>
          </w:p>
          <w:p w14:paraId="1DB61C22" w14:textId="77777777" w:rsidR="00A56FFB" w:rsidRPr="006D3402" w:rsidRDefault="00A56FFB" w:rsidP="00A56FFB">
            <w:pPr>
              <w:numPr>
                <w:ilvl w:val="0"/>
                <w:numId w:val="26"/>
              </w:numPr>
              <w:rPr>
                <w:b/>
                <w:iCs/>
                <w:sz w:val="22"/>
                <w:szCs w:val="22"/>
              </w:rPr>
            </w:pPr>
            <w:r w:rsidRPr="006D3402">
              <w:rPr>
                <w:rStyle w:val="Emphasis"/>
                <w:sz w:val="22"/>
                <w:szCs w:val="22"/>
              </w:rPr>
              <w:t>Rest breaks during the working day</w:t>
            </w:r>
          </w:p>
          <w:p w14:paraId="6E6209F5" w14:textId="3E9C3E53" w:rsidR="00A56FFB" w:rsidRPr="006D3402" w:rsidRDefault="00A56FFB" w:rsidP="00A56FFB">
            <w:pPr>
              <w:ind w:left="360"/>
              <w:textAlignment w:val="baseline"/>
              <w:rPr>
                <w:color w:val="FF0000"/>
                <w:sz w:val="22"/>
                <w:szCs w:val="22"/>
              </w:rPr>
            </w:pPr>
            <w:r w:rsidRPr="006D3402">
              <w:rPr>
                <w:sz w:val="22"/>
                <w:szCs w:val="22"/>
              </w:rPr>
              <w:t xml:space="preserve">All workers who work more than 6 hours per day are entitled to an unpaid rest break of 20 minutes.  In the case of young workers, (16 &amp; 17 years) – this is increased to a </w:t>
            </w:r>
            <w:r w:rsidR="00B54997" w:rsidRPr="006D3402">
              <w:rPr>
                <w:sz w:val="22"/>
                <w:szCs w:val="22"/>
              </w:rPr>
              <w:t>30-minute</w:t>
            </w:r>
            <w:r w:rsidRPr="006D3402">
              <w:rPr>
                <w:sz w:val="22"/>
                <w:szCs w:val="22"/>
              </w:rPr>
              <w:t xml:space="preserve"> unpaid rest break when daily working time is more than 4.5 hours plus 12 hours’ daily rest in any 24-hour period in which they work and a rest period of at least 48 hours in each 7-day period.  </w:t>
            </w:r>
          </w:p>
          <w:p w14:paraId="4224F264" w14:textId="77777777" w:rsidR="00A56FFB" w:rsidRPr="006D3402" w:rsidRDefault="00A56FFB" w:rsidP="00A56FFB">
            <w:pPr>
              <w:ind w:left="360"/>
              <w:rPr>
                <w:sz w:val="22"/>
                <w:szCs w:val="22"/>
              </w:rPr>
            </w:pPr>
          </w:p>
          <w:p w14:paraId="1E73BFDF" w14:textId="77777777" w:rsidR="00A56FFB" w:rsidRPr="006D3402" w:rsidRDefault="00A56FFB" w:rsidP="00A56FFB">
            <w:pPr>
              <w:ind w:left="360"/>
              <w:rPr>
                <w:sz w:val="22"/>
                <w:szCs w:val="22"/>
              </w:rPr>
            </w:pPr>
            <w:r w:rsidRPr="006D3402">
              <w:rPr>
                <w:sz w:val="22"/>
                <w:szCs w:val="22"/>
              </w:rPr>
              <w:t xml:space="preserve">In many cases Barnardo’s provides for a longer unpaid lunch break and individual letters of appointment give details where applicable.  Barnardo’s believes it is essential to the wellbeing of staff that an appropriate rest break is taken.  Members of staff who believe they are unable to take a rest break should refer the matter to their line manager. </w:t>
            </w:r>
          </w:p>
          <w:p w14:paraId="599483CF" w14:textId="77777777" w:rsidR="00A56FFB" w:rsidRPr="006D3402" w:rsidRDefault="00A56FFB" w:rsidP="00A56FFB">
            <w:pPr>
              <w:ind w:left="360"/>
              <w:rPr>
                <w:sz w:val="22"/>
                <w:szCs w:val="22"/>
              </w:rPr>
            </w:pPr>
          </w:p>
          <w:p w14:paraId="31918613" w14:textId="77777777" w:rsidR="00A56FFB" w:rsidRPr="006D3402" w:rsidRDefault="00A56FFB" w:rsidP="00A56FFB">
            <w:pPr>
              <w:numPr>
                <w:ilvl w:val="0"/>
                <w:numId w:val="28"/>
              </w:numPr>
              <w:rPr>
                <w:b/>
                <w:iCs/>
                <w:sz w:val="22"/>
                <w:szCs w:val="22"/>
              </w:rPr>
            </w:pPr>
            <w:r w:rsidRPr="006D3402">
              <w:rPr>
                <w:rStyle w:val="Emphasis"/>
                <w:sz w:val="22"/>
                <w:szCs w:val="22"/>
              </w:rPr>
              <w:t>Health Assessments for Night Workers</w:t>
            </w:r>
          </w:p>
          <w:p w14:paraId="36D153A1" w14:textId="51445EEA" w:rsidR="00A56FFB" w:rsidRPr="006D3402" w:rsidRDefault="00FF1F5A" w:rsidP="00A56FFB">
            <w:pPr>
              <w:ind w:left="360"/>
              <w:rPr>
                <w:sz w:val="22"/>
                <w:szCs w:val="22"/>
              </w:rPr>
            </w:pPr>
            <w:r>
              <w:rPr>
                <w:sz w:val="22"/>
                <w:szCs w:val="22"/>
              </w:rPr>
              <w:t>A</w:t>
            </w:r>
            <w:r w:rsidR="00A56FFB" w:rsidRPr="006D3402">
              <w:rPr>
                <w:sz w:val="22"/>
                <w:szCs w:val="22"/>
              </w:rPr>
              <w:t xml:space="preserve">ll </w:t>
            </w:r>
            <w:r>
              <w:rPr>
                <w:sz w:val="22"/>
                <w:szCs w:val="22"/>
              </w:rPr>
              <w:t>workers</w:t>
            </w:r>
            <w:r w:rsidR="00A56FFB" w:rsidRPr="006D3402">
              <w:rPr>
                <w:sz w:val="22"/>
                <w:szCs w:val="22"/>
              </w:rPr>
              <w:t xml:space="preserve"> classified as “night workers” under the Regulations will be offered a free health assessment, before they become a night worker, to establish their suitability for night work.  This will be made available to relevant workers at yearly intervals, or more frequently if deemed appropriate.  The People Team will make all the necessary arrangements and can provide further information if necessary.</w:t>
            </w:r>
          </w:p>
          <w:p w14:paraId="17822155" w14:textId="77777777" w:rsidR="00A56FFB" w:rsidRPr="006D3402" w:rsidRDefault="00A56FFB" w:rsidP="00A56FFB">
            <w:pPr>
              <w:rPr>
                <w:sz w:val="22"/>
                <w:szCs w:val="22"/>
              </w:rPr>
            </w:pPr>
          </w:p>
          <w:p w14:paraId="7645652F" w14:textId="77777777" w:rsidR="00A56FFB" w:rsidRDefault="00A56FFB" w:rsidP="00A56FFB">
            <w:pPr>
              <w:ind w:left="360"/>
              <w:rPr>
                <w:sz w:val="22"/>
                <w:szCs w:val="22"/>
              </w:rPr>
            </w:pPr>
            <w:r w:rsidRPr="006D3402">
              <w:rPr>
                <w:sz w:val="22"/>
                <w:szCs w:val="22"/>
              </w:rPr>
              <w:t>There are particular rules and extra restrictions on night working for young workers.  Please speak with your People Team if you need further information.</w:t>
            </w:r>
          </w:p>
          <w:p w14:paraId="5F47BBD3" w14:textId="77777777" w:rsidR="00A56FFB" w:rsidRPr="006D3402" w:rsidRDefault="00A56FFB" w:rsidP="00A56FFB">
            <w:pPr>
              <w:rPr>
                <w:sz w:val="22"/>
                <w:szCs w:val="22"/>
              </w:rPr>
            </w:pPr>
          </w:p>
          <w:p w14:paraId="5DFD8250" w14:textId="77777777" w:rsidR="00A56FFB" w:rsidRPr="006D3402" w:rsidRDefault="00A56FFB" w:rsidP="00A56FFB">
            <w:pPr>
              <w:numPr>
                <w:ilvl w:val="0"/>
                <w:numId w:val="28"/>
              </w:numPr>
              <w:rPr>
                <w:b/>
                <w:iCs/>
                <w:sz w:val="22"/>
                <w:szCs w:val="22"/>
              </w:rPr>
            </w:pPr>
            <w:r w:rsidRPr="006D3402">
              <w:rPr>
                <w:rStyle w:val="Emphasis"/>
                <w:sz w:val="22"/>
                <w:szCs w:val="22"/>
              </w:rPr>
              <w:t>Paid Annual Leave</w:t>
            </w:r>
          </w:p>
          <w:p w14:paraId="617D3025" w14:textId="77777777" w:rsidR="00A56FFB" w:rsidRPr="006D3402" w:rsidRDefault="00A56FFB" w:rsidP="00A56FFB">
            <w:pPr>
              <w:ind w:left="360"/>
              <w:rPr>
                <w:sz w:val="22"/>
                <w:szCs w:val="22"/>
              </w:rPr>
            </w:pPr>
            <w:r w:rsidRPr="006D3402">
              <w:rPr>
                <w:sz w:val="22"/>
                <w:szCs w:val="22"/>
              </w:rPr>
              <w:t xml:space="preserve">Annual leave may not be replaced by pay, or a “payment in lieu”, except where the employment relationship is terminated in which case any unused annual leave entitlement will be paid up to the date of termination.   </w:t>
            </w:r>
          </w:p>
          <w:p w14:paraId="1AACE9AA" w14:textId="77777777" w:rsidR="00A56FFB" w:rsidRPr="006D3402" w:rsidRDefault="00A56FFB" w:rsidP="00A56FFB">
            <w:pPr>
              <w:rPr>
                <w:sz w:val="22"/>
                <w:szCs w:val="22"/>
              </w:rPr>
            </w:pPr>
          </w:p>
          <w:p w14:paraId="64B110E6" w14:textId="77777777" w:rsidR="00A56FFB" w:rsidRDefault="00A56FFB" w:rsidP="00A322ED">
            <w:pPr>
              <w:autoSpaceDE w:val="0"/>
              <w:autoSpaceDN w:val="0"/>
              <w:adjustRightInd w:val="0"/>
              <w:ind w:left="318"/>
              <w:rPr>
                <w:sz w:val="22"/>
                <w:szCs w:val="22"/>
              </w:rPr>
            </w:pPr>
            <w:r w:rsidRPr="006D3402">
              <w:rPr>
                <w:sz w:val="22"/>
                <w:szCs w:val="22"/>
              </w:rPr>
              <w:t xml:space="preserve">All annual leave entitlements, including As &amp; When workers, are fully explained in our Annual Leave &amp; Bank holidays Policy </w:t>
            </w:r>
            <w:hyperlink r:id="rId11" w:history="1">
              <w:r w:rsidRPr="006D3402">
                <w:rPr>
                  <w:rStyle w:val="Hyperlink"/>
                  <w:sz w:val="22"/>
                  <w:szCs w:val="22"/>
                </w:rPr>
                <w:t>Annual leave and bank holiday entitlements | Inside Barnardos</w:t>
              </w:r>
            </w:hyperlink>
          </w:p>
          <w:p w14:paraId="4EE04E47" w14:textId="2746DDA0" w:rsidR="00A322ED" w:rsidRDefault="00A322ED" w:rsidP="00A56FFB">
            <w:pPr>
              <w:tabs>
                <w:tab w:val="num" w:pos="907"/>
              </w:tabs>
              <w:autoSpaceDE w:val="0"/>
              <w:autoSpaceDN w:val="0"/>
              <w:adjustRightInd w:val="0"/>
              <w:ind w:left="907" w:hanging="187"/>
            </w:pPr>
          </w:p>
        </w:tc>
      </w:tr>
      <w:tr w:rsidR="00A56FFB" w14:paraId="5B4B9E28" w14:textId="77777777" w:rsidTr="00723CF2">
        <w:tc>
          <w:tcPr>
            <w:tcW w:w="10604" w:type="dxa"/>
            <w:gridSpan w:val="7"/>
            <w:shd w:val="clear" w:color="auto" w:fill="92D050"/>
          </w:tcPr>
          <w:p w14:paraId="34C3EC43" w14:textId="77777777" w:rsidR="00A56FFB" w:rsidRPr="00155350" w:rsidRDefault="00A56FFB" w:rsidP="00A56FFB">
            <w:pPr>
              <w:pStyle w:val="ListParagraph"/>
              <w:numPr>
                <w:ilvl w:val="0"/>
                <w:numId w:val="2"/>
              </w:numPr>
              <w:ind w:left="284" w:hanging="284"/>
              <w:rPr>
                <w:b/>
                <w:sz w:val="22"/>
                <w:szCs w:val="22"/>
              </w:rPr>
            </w:pPr>
            <w:bookmarkStart w:id="2" w:name="_Hlk111466294"/>
            <w:r>
              <w:rPr>
                <w:b/>
                <w:sz w:val="22"/>
                <w:szCs w:val="22"/>
              </w:rPr>
              <w:lastRenderedPageBreak/>
              <w:t>Scope</w:t>
            </w:r>
          </w:p>
        </w:tc>
      </w:tr>
      <w:tr w:rsidR="00A56FFB" w14:paraId="08A8D72D" w14:textId="77777777" w:rsidTr="00723CF2">
        <w:tc>
          <w:tcPr>
            <w:tcW w:w="10604" w:type="dxa"/>
            <w:gridSpan w:val="7"/>
          </w:tcPr>
          <w:p w14:paraId="7B44754C" w14:textId="77777777" w:rsidR="00A56FFB" w:rsidRPr="00F268E9" w:rsidRDefault="00A56FFB" w:rsidP="00A56FFB">
            <w:pPr>
              <w:rPr>
                <w:sz w:val="22"/>
                <w:szCs w:val="22"/>
                <w:highlight w:val="yellow"/>
              </w:rPr>
            </w:pPr>
          </w:p>
          <w:p w14:paraId="150CF99C" w14:textId="48A414DF" w:rsidR="00500194" w:rsidRDefault="00A56FFB" w:rsidP="00A56FFB">
            <w:pPr>
              <w:rPr>
                <w:sz w:val="22"/>
                <w:szCs w:val="22"/>
                <w:highlight w:val="yellow"/>
              </w:rPr>
            </w:pPr>
            <w:r w:rsidRPr="00CD09EA">
              <w:rPr>
                <w:sz w:val="22"/>
                <w:szCs w:val="22"/>
              </w:rPr>
              <w:t>This policy statement applies to all</w:t>
            </w:r>
            <w:r w:rsidR="001A18A6" w:rsidRPr="00CD09EA">
              <w:rPr>
                <w:sz w:val="22"/>
                <w:szCs w:val="22"/>
              </w:rPr>
              <w:t xml:space="preserve"> </w:t>
            </w:r>
            <w:r w:rsidR="00234890" w:rsidRPr="001424D4">
              <w:rPr>
                <w:sz w:val="22"/>
                <w:szCs w:val="22"/>
              </w:rPr>
              <w:t>workers. For the purpose of this policy only</w:t>
            </w:r>
            <w:r w:rsidR="00234890" w:rsidRPr="001424D4">
              <w:rPr>
                <w:sz w:val="22"/>
                <w:szCs w:val="22"/>
              </w:rPr>
              <w:br/>
              <w:t>the term ‘worker’ will be deemed to cover</w:t>
            </w:r>
            <w:r w:rsidR="00234890" w:rsidRPr="00FA2E6A">
              <w:rPr>
                <w:sz w:val="22"/>
                <w:szCs w:val="22"/>
              </w:rPr>
              <w:t xml:space="preserve"> employees, as and</w:t>
            </w:r>
            <w:r w:rsidR="00234890" w:rsidRPr="00FA2E6A">
              <w:rPr>
                <w:sz w:val="22"/>
                <w:szCs w:val="22"/>
              </w:rPr>
              <w:br/>
              <w:t>when worker</w:t>
            </w:r>
            <w:r w:rsidR="00FF1F5A">
              <w:rPr>
                <w:sz w:val="22"/>
                <w:szCs w:val="22"/>
              </w:rPr>
              <w:t>s and</w:t>
            </w:r>
            <w:r w:rsidR="00835145">
              <w:rPr>
                <w:sz w:val="22"/>
                <w:szCs w:val="22"/>
              </w:rPr>
              <w:t xml:space="preserve"> whilst they are working at Barnardo’s,</w:t>
            </w:r>
            <w:r w:rsidR="00234890" w:rsidRPr="00FA2E6A">
              <w:rPr>
                <w:sz w:val="22"/>
                <w:szCs w:val="22"/>
              </w:rPr>
              <w:t xml:space="preserve"> </w:t>
            </w:r>
            <w:r w:rsidR="008F7131">
              <w:rPr>
                <w:sz w:val="22"/>
                <w:szCs w:val="22"/>
              </w:rPr>
              <w:t xml:space="preserve">temporary </w:t>
            </w:r>
            <w:r w:rsidR="00234890" w:rsidRPr="00FA2E6A">
              <w:rPr>
                <w:sz w:val="22"/>
                <w:szCs w:val="22"/>
              </w:rPr>
              <w:t>agency worker</w:t>
            </w:r>
            <w:r w:rsidR="00FA2E6A">
              <w:rPr>
                <w:sz w:val="22"/>
                <w:szCs w:val="22"/>
              </w:rPr>
              <w:t>s</w:t>
            </w:r>
            <w:r w:rsidR="00234890" w:rsidRPr="00FA2E6A">
              <w:rPr>
                <w:sz w:val="22"/>
                <w:szCs w:val="22"/>
              </w:rPr>
              <w:t xml:space="preserve"> and contractors supplied by </w:t>
            </w:r>
            <w:r w:rsidR="00FA2E6A" w:rsidRPr="00FA2E6A">
              <w:rPr>
                <w:sz w:val="22"/>
                <w:szCs w:val="22"/>
              </w:rPr>
              <w:t>intermediaries</w:t>
            </w:r>
            <w:r w:rsidR="00234890" w:rsidRPr="00FA2E6A">
              <w:rPr>
                <w:sz w:val="22"/>
                <w:szCs w:val="22"/>
              </w:rPr>
              <w:t xml:space="preserve"> </w:t>
            </w:r>
            <w:r w:rsidR="00FF1F5A" w:rsidRPr="00FA2E6A">
              <w:rPr>
                <w:sz w:val="22"/>
                <w:szCs w:val="22"/>
              </w:rPr>
              <w:t>e.g</w:t>
            </w:r>
            <w:r w:rsidR="00FF1F5A">
              <w:rPr>
                <w:sz w:val="22"/>
                <w:szCs w:val="22"/>
              </w:rPr>
              <w:t>.,</w:t>
            </w:r>
            <w:r w:rsidR="00234890" w:rsidRPr="00FA2E6A">
              <w:rPr>
                <w:sz w:val="22"/>
                <w:szCs w:val="22"/>
              </w:rPr>
              <w:t xml:space="preserve"> umbrella </w:t>
            </w:r>
            <w:bookmarkStart w:id="3" w:name="table02"/>
            <w:bookmarkEnd w:id="3"/>
            <w:r w:rsidR="00FA2E6A" w:rsidRPr="00FA2E6A">
              <w:rPr>
                <w:sz w:val="22"/>
                <w:szCs w:val="22"/>
              </w:rPr>
              <w:t xml:space="preserve">companies. </w:t>
            </w:r>
          </w:p>
          <w:p w14:paraId="205C1BF2" w14:textId="24881EA9" w:rsidR="00500194" w:rsidRPr="00500194" w:rsidRDefault="00500194" w:rsidP="00A56FFB">
            <w:pPr>
              <w:rPr>
                <w:sz w:val="22"/>
                <w:szCs w:val="22"/>
                <w:highlight w:val="yellow"/>
              </w:rPr>
            </w:pPr>
          </w:p>
        </w:tc>
      </w:tr>
      <w:bookmarkEnd w:id="2"/>
      <w:tr w:rsidR="00A56FFB" w14:paraId="51DC8D9C" w14:textId="77777777" w:rsidTr="00723CF2">
        <w:tc>
          <w:tcPr>
            <w:tcW w:w="10604" w:type="dxa"/>
            <w:gridSpan w:val="7"/>
            <w:shd w:val="clear" w:color="auto" w:fill="92D050"/>
          </w:tcPr>
          <w:p w14:paraId="344839C2" w14:textId="77777777" w:rsidR="00A56FFB" w:rsidRPr="00155350" w:rsidRDefault="00A56FFB" w:rsidP="00A56FFB">
            <w:pPr>
              <w:pStyle w:val="ListParagraph"/>
              <w:numPr>
                <w:ilvl w:val="0"/>
                <w:numId w:val="2"/>
              </w:numPr>
              <w:ind w:left="284" w:hanging="284"/>
              <w:rPr>
                <w:b/>
                <w:sz w:val="22"/>
                <w:szCs w:val="22"/>
              </w:rPr>
            </w:pPr>
            <w:r>
              <w:rPr>
                <w:b/>
                <w:sz w:val="22"/>
                <w:szCs w:val="22"/>
              </w:rPr>
              <w:lastRenderedPageBreak/>
              <w:t>Definitions and Key Concepts</w:t>
            </w:r>
          </w:p>
        </w:tc>
      </w:tr>
      <w:tr w:rsidR="00A56FFB" w14:paraId="2BE044DB" w14:textId="77777777" w:rsidTr="00723CF2">
        <w:trPr>
          <w:trHeight w:val="557"/>
        </w:trPr>
        <w:tc>
          <w:tcPr>
            <w:tcW w:w="10604" w:type="dxa"/>
            <w:gridSpan w:val="7"/>
          </w:tcPr>
          <w:p w14:paraId="48EF80D4" w14:textId="56350B83" w:rsidR="0042055A" w:rsidRPr="00CD09EA" w:rsidRDefault="003D14E5" w:rsidP="00CD09EA">
            <w:pPr>
              <w:pStyle w:val="ListParagraph"/>
              <w:numPr>
                <w:ilvl w:val="0"/>
                <w:numId w:val="26"/>
              </w:numPr>
              <w:rPr>
                <w:sz w:val="22"/>
                <w:szCs w:val="22"/>
              </w:rPr>
            </w:pPr>
            <w:hyperlink r:id="rId12" w:history="1">
              <w:r w:rsidR="0042055A" w:rsidRPr="0033230A">
                <w:rPr>
                  <w:rStyle w:val="Hyperlink"/>
                  <w:sz w:val="22"/>
                  <w:szCs w:val="22"/>
                </w:rPr>
                <w:t>Hybrid Workplace Offer</w:t>
              </w:r>
            </w:hyperlink>
            <w:r w:rsidR="0042055A" w:rsidRPr="00CD09EA">
              <w:rPr>
                <w:sz w:val="22"/>
                <w:szCs w:val="22"/>
              </w:rPr>
              <w:t xml:space="preserve"> Our w</w:t>
            </w:r>
            <w:r w:rsidR="0042055A" w:rsidRPr="00CD09EA">
              <w:rPr>
                <w:rFonts w:cs="Segoe UI"/>
                <w:color w:val="1D1D1D"/>
                <w:sz w:val="22"/>
                <w:szCs w:val="22"/>
              </w:rPr>
              <w:t>orkplace Offer is the charity's hybrid working initiative relevant to Barnardo's colleagues and is built around three areas:</w:t>
            </w:r>
          </w:p>
          <w:p w14:paraId="272E2BAB" w14:textId="77777777" w:rsidR="0042055A" w:rsidRPr="0042055A" w:rsidRDefault="0042055A" w:rsidP="0042055A">
            <w:pPr>
              <w:numPr>
                <w:ilvl w:val="0"/>
                <w:numId w:val="30"/>
              </w:numPr>
              <w:shd w:val="clear" w:color="auto" w:fill="FFFFFF"/>
              <w:spacing w:before="100" w:beforeAutospacing="1" w:after="100" w:afterAutospacing="1"/>
              <w:textAlignment w:val="baseline"/>
              <w:rPr>
                <w:rFonts w:cs="Segoe UI"/>
                <w:color w:val="1D1D1D"/>
                <w:sz w:val="22"/>
                <w:szCs w:val="22"/>
              </w:rPr>
            </w:pPr>
            <w:r w:rsidRPr="0042055A">
              <w:rPr>
                <w:rFonts w:cs="Segoe UI"/>
                <w:color w:val="1D1D1D"/>
                <w:sz w:val="22"/>
                <w:szCs w:val="22"/>
              </w:rPr>
              <w:t>People - it is based on trust, flexibility, transparency and empowerment. </w:t>
            </w:r>
          </w:p>
          <w:p w14:paraId="314E131E" w14:textId="77777777" w:rsidR="0042055A" w:rsidRPr="0042055A" w:rsidRDefault="0042055A" w:rsidP="0042055A">
            <w:pPr>
              <w:numPr>
                <w:ilvl w:val="0"/>
                <w:numId w:val="30"/>
              </w:numPr>
              <w:shd w:val="clear" w:color="auto" w:fill="FFFFFF"/>
              <w:spacing w:before="100" w:beforeAutospacing="1" w:after="100" w:afterAutospacing="1"/>
              <w:textAlignment w:val="baseline"/>
              <w:rPr>
                <w:rFonts w:cs="Segoe UI"/>
                <w:color w:val="1D1D1D"/>
                <w:sz w:val="22"/>
                <w:szCs w:val="22"/>
              </w:rPr>
            </w:pPr>
            <w:r w:rsidRPr="0042055A">
              <w:rPr>
                <w:rFonts w:cs="Segoe UI"/>
                <w:color w:val="1D1D1D"/>
                <w:sz w:val="22"/>
                <w:szCs w:val="22"/>
              </w:rPr>
              <w:t>Technology - investment in modern and appropriate hardware and software that enables interaction and collaboration in a virtual environment.</w:t>
            </w:r>
          </w:p>
          <w:p w14:paraId="1FBFD3F4" w14:textId="77777777" w:rsidR="00500194" w:rsidRDefault="0042055A" w:rsidP="00500194">
            <w:pPr>
              <w:numPr>
                <w:ilvl w:val="0"/>
                <w:numId w:val="30"/>
              </w:numPr>
              <w:shd w:val="clear" w:color="auto" w:fill="FFFFFF"/>
              <w:spacing w:before="100" w:beforeAutospacing="1" w:after="100" w:afterAutospacing="1"/>
              <w:textAlignment w:val="baseline"/>
              <w:rPr>
                <w:rFonts w:cs="Segoe UI"/>
                <w:color w:val="1D1D1D"/>
                <w:sz w:val="22"/>
                <w:szCs w:val="22"/>
              </w:rPr>
            </w:pPr>
            <w:r w:rsidRPr="0042055A">
              <w:rPr>
                <w:rFonts w:cs="Segoe UI"/>
                <w:color w:val="1D1D1D"/>
                <w:sz w:val="22"/>
                <w:szCs w:val="22"/>
              </w:rPr>
              <w:t>Space - ensuring you have safe and effective places that enable you to do your role.</w:t>
            </w:r>
          </w:p>
          <w:p w14:paraId="2540393B" w14:textId="0C723BE5" w:rsidR="0033230A" w:rsidRPr="00CD09EA" w:rsidRDefault="0033230A" w:rsidP="00CD09EA">
            <w:pPr>
              <w:pStyle w:val="pf0"/>
              <w:numPr>
                <w:ilvl w:val="0"/>
                <w:numId w:val="26"/>
              </w:numPr>
              <w:rPr>
                <w:rFonts w:cs="Arial"/>
                <w:sz w:val="22"/>
                <w:szCs w:val="22"/>
              </w:rPr>
            </w:pPr>
            <w:r w:rsidRPr="00CD09EA">
              <w:rPr>
                <w:rStyle w:val="cf01"/>
                <w:rFonts w:ascii="Verdana" w:hAnsi="Verdana"/>
                <w:sz w:val="22"/>
                <w:szCs w:val="22"/>
              </w:rPr>
              <w:t>'</w:t>
            </w:r>
            <w:r>
              <w:rPr>
                <w:rStyle w:val="cf01"/>
                <w:rFonts w:ascii="Verdana" w:hAnsi="Verdana"/>
                <w:sz w:val="22"/>
                <w:szCs w:val="22"/>
              </w:rPr>
              <w:t>W</w:t>
            </w:r>
            <w:r w:rsidRPr="00CD09EA">
              <w:rPr>
                <w:rStyle w:val="cf01"/>
                <w:rFonts w:ascii="Verdana" w:hAnsi="Verdana"/>
                <w:sz w:val="22"/>
                <w:szCs w:val="22"/>
              </w:rPr>
              <w:t xml:space="preserve">orking </w:t>
            </w:r>
            <w:r>
              <w:rPr>
                <w:rStyle w:val="cf01"/>
                <w:rFonts w:ascii="Verdana" w:hAnsi="Verdana"/>
                <w:sz w:val="22"/>
                <w:szCs w:val="22"/>
              </w:rPr>
              <w:t>T</w:t>
            </w:r>
            <w:r w:rsidRPr="00CD09EA">
              <w:rPr>
                <w:rStyle w:val="cf01"/>
                <w:rFonts w:ascii="Verdana" w:hAnsi="Verdana"/>
                <w:sz w:val="22"/>
                <w:szCs w:val="22"/>
              </w:rPr>
              <w:t xml:space="preserve">ime' </w:t>
            </w:r>
            <w:r>
              <w:rPr>
                <w:rStyle w:val="cf01"/>
                <w:rFonts w:ascii="Verdana" w:hAnsi="Verdana"/>
                <w:sz w:val="22"/>
                <w:szCs w:val="22"/>
              </w:rPr>
              <w:t>-</w:t>
            </w:r>
            <w:r w:rsidRPr="00CD09EA">
              <w:rPr>
                <w:rStyle w:val="cf01"/>
                <w:rFonts w:ascii="Verdana" w:hAnsi="Verdana"/>
                <w:sz w:val="22"/>
                <w:szCs w:val="22"/>
              </w:rPr>
              <w:t xml:space="preserve"> The Working Time Regulations define working time </w:t>
            </w:r>
            <w:r>
              <w:rPr>
                <w:rStyle w:val="cf01"/>
                <w:rFonts w:ascii="Verdana" w:hAnsi="Verdana"/>
                <w:sz w:val="22"/>
                <w:szCs w:val="22"/>
              </w:rPr>
              <w:t>“</w:t>
            </w:r>
            <w:r w:rsidRPr="00CD09EA">
              <w:rPr>
                <w:rStyle w:val="cf01"/>
                <w:rFonts w:ascii="Verdana" w:hAnsi="Verdana"/>
                <w:sz w:val="22"/>
                <w:szCs w:val="22"/>
              </w:rPr>
              <w:t xml:space="preserve">as any period during which an individual is working at the employer’s disposal and is carrying out their activities or duties.” </w:t>
            </w:r>
          </w:p>
        </w:tc>
      </w:tr>
      <w:tr w:rsidR="00A56FFB" w14:paraId="42167A96" w14:textId="77777777" w:rsidTr="00723CF2">
        <w:tc>
          <w:tcPr>
            <w:tcW w:w="10604" w:type="dxa"/>
            <w:gridSpan w:val="7"/>
            <w:shd w:val="clear" w:color="auto" w:fill="92D050"/>
          </w:tcPr>
          <w:p w14:paraId="30BF9DD3" w14:textId="7429C980" w:rsidR="00A56FFB" w:rsidRPr="00155350" w:rsidRDefault="00A56FFB" w:rsidP="00A56FFB">
            <w:pPr>
              <w:pStyle w:val="ListParagraph"/>
              <w:numPr>
                <w:ilvl w:val="0"/>
                <w:numId w:val="2"/>
              </w:numPr>
              <w:ind w:left="284" w:hanging="284"/>
              <w:rPr>
                <w:b/>
                <w:sz w:val="22"/>
                <w:szCs w:val="22"/>
              </w:rPr>
            </w:pPr>
            <w:r>
              <w:rPr>
                <w:b/>
                <w:sz w:val="22"/>
                <w:szCs w:val="22"/>
              </w:rPr>
              <w:t>Responsibilities and Roles</w:t>
            </w:r>
          </w:p>
        </w:tc>
      </w:tr>
      <w:tr w:rsidR="00A56FFB" w:rsidRPr="0015344A" w14:paraId="6BCB9813" w14:textId="77777777" w:rsidTr="00A322ED">
        <w:tc>
          <w:tcPr>
            <w:tcW w:w="3970" w:type="dxa"/>
            <w:gridSpan w:val="3"/>
            <w:shd w:val="clear" w:color="auto" w:fill="FFFFFF" w:themeFill="background1"/>
          </w:tcPr>
          <w:p w14:paraId="19F0EFD4" w14:textId="430FF084" w:rsidR="00A56FFB" w:rsidRPr="004620EF" w:rsidRDefault="00A56FFB" w:rsidP="00A56FFB">
            <w:pPr>
              <w:rPr>
                <w:sz w:val="22"/>
                <w:szCs w:val="22"/>
              </w:rPr>
            </w:pPr>
            <w:r w:rsidRPr="002838BC">
              <w:rPr>
                <w:b/>
                <w:sz w:val="22"/>
                <w:szCs w:val="22"/>
              </w:rPr>
              <w:t xml:space="preserve">Line </w:t>
            </w:r>
            <w:r w:rsidR="00C8236C">
              <w:rPr>
                <w:b/>
                <w:sz w:val="22"/>
                <w:szCs w:val="22"/>
              </w:rPr>
              <w:t>M</w:t>
            </w:r>
            <w:r w:rsidRPr="002838BC">
              <w:rPr>
                <w:b/>
                <w:sz w:val="22"/>
                <w:szCs w:val="22"/>
              </w:rPr>
              <w:t>anage</w:t>
            </w:r>
            <w:r w:rsidR="00A322ED">
              <w:rPr>
                <w:b/>
                <w:sz w:val="22"/>
                <w:szCs w:val="22"/>
              </w:rPr>
              <w:t>r</w:t>
            </w:r>
            <w:r w:rsidRPr="00A00DD0">
              <w:rPr>
                <w:b/>
                <w:sz w:val="22"/>
                <w:szCs w:val="22"/>
              </w:rPr>
              <w:t>s</w:t>
            </w:r>
          </w:p>
          <w:p w14:paraId="4B2D5D2D" w14:textId="6730631E" w:rsidR="00A56FFB" w:rsidRDefault="00A56FFB" w:rsidP="00A56FFB">
            <w:pPr>
              <w:rPr>
                <w:sz w:val="22"/>
                <w:szCs w:val="22"/>
              </w:rPr>
            </w:pPr>
          </w:p>
          <w:p w14:paraId="465759C7" w14:textId="5C480AF0" w:rsidR="00A56FFB" w:rsidRDefault="00A56FFB" w:rsidP="00A56FFB">
            <w:pPr>
              <w:rPr>
                <w:sz w:val="22"/>
                <w:szCs w:val="22"/>
              </w:rPr>
            </w:pPr>
          </w:p>
          <w:p w14:paraId="52D87E7D" w14:textId="652849DB" w:rsidR="00A56FFB" w:rsidRDefault="00A56FFB" w:rsidP="00A56FFB">
            <w:pPr>
              <w:rPr>
                <w:sz w:val="22"/>
                <w:szCs w:val="22"/>
              </w:rPr>
            </w:pPr>
          </w:p>
          <w:p w14:paraId="7E3D473E" w14:textId="110FE727" w:rsidR="00A56FFB" w:rsidRDefault="00A56FFB" w:rsidP="00A56FFB">
            <w:pPr>
              <w:rPr>
                <w:sz w:val="22"/>
                <w:szCs w:val="22"/>
              </w:rPr>
            </w:pPr>
          </w:p>
          <w:p w14:paraId="2A238D20" w14:textId="71BB63A5" w:rsidR="00A56FFB" w:rsidRDefault="00A56FFB" w:rsidP="00A56FFB">
            <w:pPr>
              <w:rPr>
                <w:sz w:val="22"/>
                <w:szCs w:val="22"/>
              </w:rPr>
            </w:pPr>
          </w:p>
          <w:p w14:paraId="24B86022" w14:textId="77777777" w:rsidR="00A56FFB" w:rsidRDefault="00A56FFB" w:rsidP="00A56FFB">
            <w:pPr>
              <w:rPr>
                <w:sz w:val="22"/>
                <w:szCs w:val="22"/>
              </w:rPr>
            </w:pPr>
          </w:p>
          <w:p w14:paraId="61D1A208" w14:textId="77777777" w:rsidR="00A56FFB" w:rsidRPr="001B5417" w:rsidRDefault="00A56FFB" w:rsidP="00A56FFB"/>
          <w:p w14:paraId="58D8885F" w14:textId="77777777" w:rsidR="00A70611" w:rsidRPr="00CD09EA" w:rsidRDefault="00A70611" w:rsidP="00A56FFB">
            <w:pPr>
              <w:rPr>
                <w:b/>
              </w:rPr>
            </w:pPr>
          </w:p>
          <w:p w14:paraId="265C53ED" w14:textId="6CD23F6F" w:rsidR="00A56FFB" w:rsidRPr="004620EF" w:rsidRDefault="00A56FFB" w:rsidP="00A56FFB">
            <w:pPr>
              <w:rPr>
                <w:sz w:val="22"/>
                <w:szCs w:val="22"/>
              </w:rPr>
            </w:pPr>
            <w:r w:rsidRPr="00B01F41">
              <w:rPr>
                <w:b/>
                <w:sz w:val="22"/>
                <w:szCs w:val="22"/>
              </w:rPr>
              <w:t>People Teams</w:t>
            </w:r>
            <w:r w:rsidRPr="00B01F41">
              <w:rPr>
                <w:sz w:val="22"/>
                <w:szCs w:val="22"/>
              </w:rPr>
              <w:t xml:space="preserve"> </w:t>
            </w:r>
          </w:p>
          <w:p w14:paraId="3F0C7700" w14:textId="77777777" w:rsidR="00A56FFB" w:rsidRDefault="00A56FFB" w:rsidP="00A56FFB">
            <w:pPr>
              <w:rPr>
                <w:sz w:val="22"/>
                <w:szCs w:val="22"/>
              </w:rPr>
            </w:pPr>
          </w:p>
          <w:p w14:paraId="1B3CB6EA" w14:textId="3FEBD1E9" w:rsidR="00A56FFB" w:rsidRDefault="00A70611" w:rsidP="00A56FFB">
            <w:pPr>
              <w:rPr>
                <w:b/>
                <w:bCs/>
                <w:sz w:val="22"/>
                <w:szCs w:val="22"/>
                <w:highlight w:val="green"/>
              </w:rPr>
            </w:pPr>
            <w:r>
              <w:rPr>
                <w:b/>
                <w:bCs/>
                <w:sz w:val="22"/>
                <w:szCs w:val="22"/>
                <w:highlight w:val="green"/>
              </w:rPr>
              <w:br/>
            </w:r>
          </w:p>
          <w:p w14:paraId="45F0E00B" w14:textId="77777777" w:rsidR="00A56FFB" w:rsidRDefault="00A56FFB" w:rsidP="00A56FFB">
            <w:pPr>
              <w:rPr>
                <w:bCs/>
                <w:i/>
                <w:iCs/>
                <w:color w:val="FF0000"/>
                <w:sz w:val="22"/>
                <w:szCs w:val="22"/>
              </w:rPr>
            </w:pPr>
          </w:p>
          <w:p w14:paraId="6DB4D7DB" w14:textId="77777777" w:rsidR="00A56FFB" w:rsidRDefault="00A56FFB" w:rsidP="00A56FFB">
            <w:pPr>
              <w:rPr>
                <w:bCs/>
                <w:i/>
                <w:iCs/>
                <w:color w:val="FF0000"/>
                <w:sz w:val="22"/>
                <w:szCs w:val="22"/>
              </w:rPr>
            </w:pPr>
          </w:p>
          <w:p w14:paraId="1ACC0092" w14:textId="02F962A4" w:rsidR="00A56FFB" w:rsidRPr="00982146" w:rsidRDefault="00A56FFB" w:rsidP="00A56FFB">
            <w:pPr>
              <w:rPr>
                <w:b/>
                <w:bCs/>
                <w:sz w:val="22"/>
                <w:szCs w:val="22"/>
              </w:rPr>
            </w:pPr>
            <w:r w:rsidRPr="00982146">
              <w:rPr>
                <w:b/>
                <w:bCs/>
                <w:sz w:val="22"/>
                <w:szCs w:val="22"/>
              </w:rPr>
              <w:t xml:space="preserve">People Strategy </w:t>
            </w:r>
            <w:r w:rsidR="00A322ED">
              <w:rPr>
                <w:b/>
                <w:bCs/>
                <w:sz w:val="22"/>
                <w:szCs w:val="22"/>
              </w:rPr>
              <w:t>&amp;</w:t>
            </w:r>
            <w:r w:rsidRPr="00982146">
              <w:rPr>
                <w:b/>
                <w:bCs/>
                <w:sz w:val="22"/>
                <w:szCs w:val="22"/>
              </w:rPr>
              <w:t xml:space="preserve"> Projects Team</w:t>
            </w:r>
          </w:p>
          <w:p w14:paraId="0C8F5A7A" w14:textId="77777777" w:rsidR="00A56FFB" w:rsidRDefault="00A56FFB" w:rsidP="00A56FFB">
            <w:pPr>
              <w:rPr>
                <w:bCs/>
                <w:color w:val="FF0000"/>
                <w:sz w:val="22"/>
                <w:szCs w:val="22"/>
              </w:rPr>
            </w:pPr>
          </w:p>
          <w:p w14:paraId="6102E309" w14:textId="77777777" w:rsidR="00A70611" w:rsidRDefault="00A70611" w:rsidP="00A56FFB">
            <w:pPr>
              <w:rPr>
                <w:bCs/>
                <w:color w:val="FF0000"/>
                <w:sz w:val="22"/>
                <w:szCs w:val="22"/>
              </w:rPr>
            </w:pPr>
          </w:p>
          <w:p w14:paraId="2E337B3E" w14:textId="77777777" w:rsidR="00A70611" w:rsidRDefault="00A70611" w:rsidP="00A56FFB">
            <w:pPr>
              <w:rPr>
                <w:bCs/>
                <w:color w:val="FF0000"/>
                <w:sz w:val="22"/>
                <w:szCs w:val="22"/>
              </w:rPr>
            </w:pPr>
          </w:p>
          <w:p w14:paraId="03CAA642" w14:textId="77777777" w:rsidR="00A70611" w:rsidRDefault="00A70611" w:rsidP="00A56FFB">
            <w:pPr>
              <w:rPr>
                <w:bCs/>
                <w:color w:val="FF0000"/>
                <w:sz w:val="22"/>
                <w:szCs w:val="22"/>
              </w:rPr>
            </w:pPr>
          </w:p>
          <w:p w14:paraId="1FAB2D6A" w14:textId="77777777" w:rsidR="00A70611" w:rsidRDefault="00A70611" w:rsidP="00A56FFB">
            <w:pPr>
              <w:rPr>
                <w:bCs/>
                <w:color w:val="FF0000"/>
                <w:sz w:val="22"/>
                <w:szCs w:val="22"/>
              </w:rPr>
            </w:pPr>
          </w:p>
          <w:p w14:paraId="256D95FE" w14:textId="15D42961" w:rsidR="00A70611" w:rsidRPr="00982146" w:rsidRDefault="00A70611" w:rsidP="00A56FFB">
            <w:pPr>
              <w:rPr>
                <w:bCs/>
                <w:color w:val="FF0000"/>
                <w:sz w:val="22"/>
                <w:szCs w:val="22"/>
              </w:rPr>
            </w:pPr>
            <w:r>
              <w:rPr>
                <w:bCs/>
                <w:color w:val="FF0000"/>
                <w:sz w:val="22"/>
                <w:szCs w:val="22"/>
              </w:rPr>
              <w:br/>
            </w:r>
            <w:r w:rsidRPr="00BE484B">
              <w:rPr>
                <w:b/>
                <w:bCs/>
                <w:sz w:val="22"/>
                <w:szCs w:val="22"/>
              </w:rPr>
              <w:t xml:space="preserve">Workers </w:t>
            </w:r>
          </w:p>
        </w:tc>
        <w:tc>
          <w:tcPr>
            <w:tcW w:w="6634" w:type="dxa"/>
            <w:gridSpan w:val="4"/>
            <w:shd w:val="clear" w:color="auto" w:fill="FFFFFF" w:themeFill="background1"/>
          </w:tcPr>
          <w:p w14:paraId="4B47E1E2" w14:textId="1A7D2F9B" w:rsidR="00F9145D" w:rsidRPr="00BE484B" w:rsidRDefault="00A56FFB" w:rsidP="00A56FFB">
            <w:pPr>
              <w:rPr>
                <w:sz w:val="22"/>
                <w:szCs w:val="22"/>
              </w:rPr>
            </w:pPr>
            <w:r w:rsidRPr="00BE484B">
              <w:rPr>
                <w:sz w:val="22"/>
                <w:szCs w:val="22"/>
              </w:rPr>
              <w:t xml:space="preserve">Responsible for </w:t>
            </w:r>
            <w:r w:rsidR="00A322ED" w:rsidRPr="00BE484B">
              <w:rPr>
                <w:sz w:val="22"/>
                <w:szCs w:val="22"/>
              </w:rPr>
              <w:t xml:space="preserve">upholding the commitments and </w:t>
            </w:r>
            <w:r w:rsidR="00F4478D" w:rsidRPr="00BE484B">
              <w:rPr>
                <w:sz w:val="22"/>
                <w:szCs w:val="22"/>
              </w:rPr>
              <w:t xml:space="preserve">requirements </w:t>
            </w:r>
            <w:r w:rsidR="00F9145D" w:rsidRPr="00BE484B">
              <w:rPr>
                <w:sz w:val="22"/>
                <w:szCs w:val="22"/>
              </w:rPr>
              <w:t xml:space="preserve">as </w:t>
            </w:r>
            <w:r w:rsidR="00A322ED" w:rsidRPr="00BE484B">
              <w:rPr>
                <w:sz w:val="22"/>
                <w:szCs w:val="22"/>
              </w:rPr>
              <w:t>set out in this Policy Statement</w:t>
            </w:r>
            <w:r w:rsidR="00500194" w:rsidRPr="00BE484B">
              <w:rPr>
                <w:sz w:val="22"/>
                <w:szCs w:val="22"/>
              </w:rPr>
              <w:t xml:space="preserve">, </w:t>
            </w:r>
            <w:r w:rsidR="00F4478D" w:rsidRPr="00BE484B">
              <w:rPr>
                <w:sz w:val="22"/>
                <w:szCs w:val="22"/>
              </w:rPr>
              <w:t xml:space="preserve">ensuring that workers are working in accordance with the policy, </w:t>
            </w:r>
            <w:r w:rsidR="00500194" w:rsidRPr="00BE484B">
              <w:rPr>
                <w:sz w:val="22"/>
                <w:szCs w:val="22"/>
              </w:rPr>
              <w:t xml:space="preserve">particularly </w:t>
            </w:r>
            <w:r w:rsidR="00F9145D" w:rsidRPr="00BE484B">
              <w:rPr>
                <w:sz w:val="22"/>
                <w:szCs w:val="22"/>
              </w:rPr>
              <w:t>ensuring appropriate consideration is given to any young workers (aged 16 &amp; 17 years)</w:t>
            </w:r>
            <w:r w:rsidR="00500194" w:rsidRPr="00BE484B">
              <w:rPr>
                <w:sz w:val="22"/>
                <w:szCs w:val="22"/>
              </w:rPr>
              <w:t xml:space="preserve">.  </w:t>
            </w:r>
            <w:r w:rsidR="00F4478D" w:rsidRPr="00BE484B">
              <w:rPr>
                <w:sz w:val="22"/>
                <w:szCs w:val="22"/>
              </w:rPr>
              <w:t xml:space="preserve">Line </w:t>
            </w:r>
            <w:r w:rsidR="00BE484B" w:rsidRPr="00BE484B">
              <w:rPr>
                <w:sz w:val="22"/>
                <w:szCs w:val="22"/>
              </w:rPr>
              <w:t>managers are</w:t>
            </w:r>
            <w:r w:rsidR="00500194" w:rsidRPr="00BE484B">
              <w:rPr>
                <w:sz w:val="22"/>
                <w:szCs w:val="22"/>
              </w:rPr>
              <w:t xml:space="preserve"> responsible for </w:t>
            </w:r>
            <w:r w:rsidR="00F9145D" w:rsidRPr="00BE484B">
              <w:rPr>
                <w:sz w:val="22"/>
                <w:szCs w:val="22"/>
              </w:rPr>
              <w:t>ensuring they approach their People Team in a timely manner should any further guidance or support be required or if any queries arise.</w:t>
            </w:r>
          </w:p>
          <w:p w14:paraId="69B6CDEF" w14:textId="77777777" w:rsidR="00A322ED" w:rsidRPr="00BE484B" w:rsidRDefault="00A322ED" w:rsidP="00A56FFB">
            <w:pPr>
              <w:rPr>
                <w:sz w:val="22"/>
                <w:szCs w:val="22"/>
              </w:rPr>
            </w:pPr>
          </w:p>
          <w:p w14:paraId="680F03A1" w14:textId="66ECFE85" w:rsidR="00500194" w:rsidRPr="00BE484B" w:rsidRDefault="00A56FFB" w:rsidP="00A56FFB">
            <w:pPr>
              <w:rPr>
                <w:sz w:val="22"/>
                <w:szCs w:val="22"/>
              </w:rPr>
            </w:pPr>
            <w:r w:rsidRPr="00BE484B">
              <w:rPr>
                <w:sz w:val="22"/>
                <w:szCs w:val="22"/>
              </w:rPr>
              <w:t xml:space="preserve">Responsible for </w:t>
            </w:r>
            <w:r w:rsidR="00A70611" w:rsidRPr="00BE484B">
              <w:rPr>
                <w:sz w:val="22"/>
                <w:szCs w:val="22"/>
              </w:rPr>
              <w:t xml:space="preserve">advising </w:t>
            </w:r>
            <w:r w:rsidR="00500194" w:rsidRPr="00BE484B">
              <w:rPr>
                <w:sz w:val="22"/>
                <w:szCs w:val="22"/>
              </w:rPr>
              <w:t>line managers</w:t>
            </w:r>
            <w:r w:rsidR="00265B93" w:rsidRPr="00BE484B">
              <w:rPr>
                <w:sz w:val="22"/>
                <w:szCs w:val="22"/>
              </w:rPr>
              <w:t xml:space="preserve"> and workers</w:t>
            </w:r>
            <w:r w:rsidR="00500194" w:rsidRPr="00BE484B">
              <w:rPr>
                <w:sz w:val="22"/>
                <w:szCs w:val="22"/>
              </w:rPr>
              <w:t xml:space="preserve"> </w:t>
            </w:r>
            <w:r w:rsidR="00A70611" w:rsidRPr="00BE484B">
              <w:rPr>
                <w:sz w:val="22"/>
                <w:szCs w:val="22"/>
              </w:rPr>
              <w:t xml:space="preserve">on the application of the policy </w:t>
            </w:r>
            <w:r w:rsidR="00282B3B">
              <w:rPr>
                <w:sz w:val="22"/>
                <w:szCs w:val="22"/>
              </w:rPr>
              <w:t xml:space="preserve">and </w:t>
            </w:r>
            <w:r w:rsidR="00500194" w:rsidRPr="00BE484B">
              <w:rPr>
                <w:sz w:val="22"/>
                <w:szCs w:val="22"/>
              </w:rPr>
              <w:t xml:space="preserve">should any queries </w:t>
            </w:r>
            <w:r w:rsidR="00B54997" w:rsidRPr="00BE484B">
              <w:rPr>
                <w:sz w:val="22"/>
                <w:szCs w:val="22"/>
              </w:rPr>
              <w:t>arise,</w:t>
            </w:r>
            <w:r w:rsidR="00500194" w:rsidRPr="00BE484B">
              <w:rPr>
                <w:sz w:val="22"/>
                <w:szCs w:val="22"/>
              </w:rPr>
              <w:t xml:space="preserve"> or further support and guidance is required around the </w:t>
            </w:r>
            <w:r w:rsidR="00A70611" w:rsidRPr="00BE484B">
              <w:rPr>
                <w:sz w:val="22"/>
                <w:szCs w:val="22"/>
              </w:rPr>
              <w:t>R</w:t>
            </w:r>
            <w:r w:rsidR="00500194" w:rsidRPr="00BE484B">
              <w:rPr>
                <w:sz w:val="22"/>
                <w:szCs w:val="22"/>
              </w:rPr>
              <w:t>egulations. Assisting with health assessments, if and when appropriate.</w:t>
            </w:r>
          </w:p>
          <w:p w14:paraId="68D97709" w14:textId="77777777" w:rsidR="00A56FFB" w:rsidRPr="00BE484B" w:rsidRDefault="00A56FFB" w:rsidP="00A56FFB">
            <w:pPr>
              <w:rPr>
                <w:sz w:val="22"/>
                <w:szCs w:val="22"/>
              </w:rPr>
            </w:pPr>
          </w:p>
          <w:p w14:paraId="2E62253F" w14:textId="37F45DCA" w:rsidR="00A56FFB" w:rsidRPr="00BE484B" w:rsidRDefault="00A56FFB" w:rsidP="00A56FFB">
            <w:pPr>
              <w:rPr>
                <w:sz w:val="22"/>
                <w:szCs w:val="22"/>
              </w:rPr>
            </w:pPr>
            <w:r w:rsidRPr="00BE484B">
              <w:rPr>
                <w:sz w:val="22"/>
                <w:szCs w:val="22"/>
              </w:rPr>
              <w:t xml:space="preserve">To conduct policy reviews at three yearly intervals.   Proposed changes will be subject to consultation with UNISON.  </w:t>
            </w:r>
          </w:p>
          <w:p w14:paraId="063BB5BC" w14:textId="77777777" w:rsidR="00A56FFB" w:rsidRPr="00BE484B" w:rsidRDefault="00A56FFB" w:rsidP="00A56FFB">
            <w:pPr>
              <w:rPr>
                <w:sz w:val="22"/>
                <w:szCs w:val="22"/>
              </w:rPr>
            </w:pPr>
          </w:p>
          <w:p w14:paraId="19C31364" w14:textId="002F0607" w:rsidR="00A56FFB" w:rsidRPr="00A70611" w:rsidRDefault="00A56FFB" w:rsidP="00A56FFB">
            <w:pPr>
              <w:rPr>
                <w:sz w:val="22"/>
                <w:szCs w:val="22"/>
                <w:highlight w:val="yellow"/>
              </w:rPr>
            </w:pPr>
            <w:r w:rsidRPr="00BE484B">
              <w:rPr>
                <w:sz w:val="22"/>
                <w:szCs w:val="22"/>
              </w:rPr>
              <w:t xml:space="preserve">Statutory changes will be incorporated automatically, and any legal or organisational developments may prompt more frequent reviews.  </w:t>
            </w:r>
            <w:r w:rsidR="00A70611" w:rsidRPr="00BE484B">
              <w:rPr>
                <w:sz w:val="22"/>
                <w:szCs w:val="22"/>
              </w:rPr>
              <w:br/>
            </w:r>
            <w:r w:rsidRPr="00BE484B">
              <w:rPr>
                <w:sz w:val="22"/>
                <w:szCs w:val="22"/>
              </w:rPr>
              <w:br/>
            </w:r>
            <w:r w:rsidR="00A70611" w:rsidRPr="00BE484B">
              <w:rPr>
                <w:sz w:val="22"/>
                <w:szCs w:val="22"/>
              </w:rPr>
              <w:t>Ensuring they are familiar with the policy and the Regulations and adhere to these.</w:t>
            </w:r>
            <w:r w:rsidR="00FF1F5A" w:rsidRPr="00BE484B">
              <w:rPr>
                <w:sz w:val="22"/>
                <w:szCs w:val="22"/>
              </w:rPr>
              <w:br/>
            </w:r>
          </w:p>
        </w:tc>
      </w:tr>
      <w:tr w:rsidR="00A56FFB" w14:paraId="0F8709F2" w14:textId="77777777" w:rsidTr="00723CF2">
        <w:tc>
          <w:tcPr>
            <w:tcW w:w="10604" w:type="dxa"/>
            <w:gridSpan w:val="7"/>
            <w:shd w:val="clear" w:color="auto" w:fill="92D050"/>
          </w:tcPr>
          <w:p w14:paraId="5358C4E9" w14:textId="77777777" w:rsidR="00A56FFB" w:rsidRPr="00155350" w:rsidRDefault="00A56FFB" w:rsidP="00A56FFB">
            <w:pPr>
              <w:pStyle w:val="ListParagraph"/>
              <w:numPr>
                <w:ilvl w:val="0"/>
                <w:numId w:val="2"/>
              </w:numPr>
              <w:ind w:left="284" w:hanging="284"/>
              <w:rPr>
                <w:b/>
                <w:sz w:val="22"/>
                <w:szCs w:val="22"/>
              </w:rPr>
            </w:pPr>
            <w:r>
              <w:rPr>
                <w:b/>
                <w:sz w:val="22"/>
                <w:szCs w:val="22"/>
              </w:rPr>
              <w:t>Associated Legislation, Guidance, References and Documents</w:t>
            </w:r>
          </w:p>
        </w:tc>
      </w:tr>
      <w:tr w:rsidR="00A56FFB" w14:paraId="116314E9" w14:textId="77777777" w:rsidTr="00723CF2">
        <w:tc>
          <w:tcPr>
            <w:tcW w:w="10604" w:type="dxa"/>
            <w:gridSpan w:val="7"/>
          </w:tcPr>
          <w:p w14:paraId="43B73865" w14:textId="77777777" w:rsidR="00A56FFB" w:rsidRPr="009F7190" w:rsidRDefault="003D14E5" w:rsidP="00A56FFB">
            <w:pPr>
              <w:pStyle w:val="ListParagraph"/>
              <w:numPr>
                <w:ilvl w:val="0"/>
                <w:numId w:val="27"/>
              </w:numPr>
              <w:rPr>
                <w:sz w:val="22"/>
                <w:szCs w:val="22"/>
              </w:rPr>
            </w:pPr>
            <w:hyperlink r:id="rId13" w:history="1">
              <w:r w:rsidR="00A56FFB" w:rsidRPr="009F7190">
                <w:rPr>
                  <w:rStyle w:val="Hyperlink"/>
                  <w:sz w:val="22"/>
                  <w:szCs w:val="22"/>
                </w:rPr>
                <w:t>The Working Time Regulations 1998 (legislation.gov.uk)</w:t>
              </w:r>
            </w:hyperlink>
          </w:p>
          <w:p w14:paraId="66FB4EAF" w14:textId="77777777" w:rsidR="00A56FFB" w:rsidRPr="009F7190" w:rsidRDefault="003D14E5" w:rsidP="00A56FFB">
            <w:pPr>
              <w:pStyle w:val="ListParagraph"/>
              <w:numPr>
                <w:ilvl w:val="0"/>
                <w:numId w:val="27"/>
              </w:numPr>
              <w:rPr>
                <w:sz w:val="22"/>
                <w:szCs w:val="22"/>
              </w:rPr>
            </w:pPr>
            <w:hyperlink r:id="rId14" w:history="1">
              <w:r w:rsidR="00A56FFB" w:rsidRPr="009F7190">
                <w:rPr>
                  <w:color w:val="0000FF"/>
                  <w:sz w:val="22"/>
                  <w:szCs w:val="22"/>
                  <w:u w:val="single"/>
                </w:rPr>
                <w:t>The Working Time (Amendment) Regulations 2003 (legislation.gov.uk)</w:t>
              </w:r>
            </w:hyperlink>
          </w:p>
          <w:p w14:paraId="5206812A" w14:textId="77777777" w:rsidR="00A56FFB" w:rsidRPr="009F7190" w:rsidRDefault="003D14E5" w:rsidP="00A56FFB">
            <w:pPr>
              <w:pStyle w:val="ListParagraph"/>
              <w:numPr>
                <w:ilvl w:val="0"/>
                <w:numId w:val="27"/>
              </w:numPr>
              <w:rPr>
                <w:sz w:val="22"/>
                <w:szCs w:val="22"/>
              </w:rPr>
            </w:pPr>
            <w:hyperlink r:id="rId15" w:history="1">
              <w:r w:rsidR="00A56FFB" w:rsidRPr="009F7190">
                <w:rPr>
                  <w:rStyle w:val="Hyperlink"/>
                  <w:sz w:val="22"/>
                  <w:szCs w:val="22"/>
                </w:rPr>
                <w:t>The Working Time (Amendment) Regulations 2007 (legislation.gov.uk)</w:t>
              </w:r>
            </w:hyperlink>
          </w:p>
          <w:p w14:paraId="79F5D38C" w14:textId="77777777" w:rsidR="00A56FFB" w:rsidRPr="009F7190" w:rsidRDefault="003D14E5" w:rsidP="00A56FFB">
            <w:pPr>
              <w:pStyle w:val="ListParagraph"/>
              <w:numPr>
                <w:ilvl w:val="0"/>
                <w:numId w:val="27"/>
              </w:numPr>
              <w:rPr>
                <w:sz w:val="22"/>
                <w:szCs w:val="22"/>
              </w:rPr>
            </w:pPr>
            <w:hyperlink r:id="rId16" w:history="1">
              <w:r w:rsidR="00A56FFB" w:rsidRPr="009F7190">
                <w:rPr>
                  <w:rStyle w:val="Hyperlink"/>
                  <w:sz w:val="22"/>
                  <w:szCs w:val="22"/>
                </w:rPr>
                <w:t>The Working Time Regulations (Northern Ireland) 2016 (legislation.gov.uk)</w:t>
              </w:r>
            </w:hyperlink>
          </w:p>
          <w:p w14:paraId="2B8FEEF5" w14:textId="77777777" w:rsidR="00A56FFB" w:rsidRPr="00291AAF" w:rsidRDefault="003D14E5" w:rsidP="00A56FFB">
            <w:pPr>
              <w:pStyle w:val="ListParagraph"/>
              <w:numPr>
                <w:ilvl w:val="0"/>
                <w:numId w:val="27"/>
              </w:numPr>
              <w:rPr>
                <w:sz w:val="22"/>
                <w:szCs w:val="22"/>
              </w:rPr>
            </w:pPr>
            <w:hyperlink r:id="rId17" w:history="1">
              <w:r w:rsidR="00A56FFB" w:rsidRPr="00291AAF">
                <w:rPr>
                  <w:rStyle w:val="Hyperlink"/>
                  <w:sz w:val="22"/>
                  <w:szCs w:val="22"/>
                </w:rPr>
                <w:t>The Working Time (Coronavirus) (Amendment) Regulations 2020 (legislation.gov.uk)</w:t>
              </w:r>
            </w:hyperlink>
          </w:p>
          <w:p w14:paraId="109817C7" w14:textId="29E8359F" w:rsidR="00A56FFB" w:rsidRPr="00291AAF" w:rsidRDefault="00A56FFB" w:rsidP="00A56FFB">
            <w:pPr>
              <w:pStyle w:val="ListParagraph"/>
              <w:numPr>
                <w:ilvl w:val="0"/>
                <w:numId w:val="27"/>
              </w:numPr>
              <w:rPr>
                <w:sz w:val="22"/>
                <w:szCs w:val="22"/>
              </w:rPr>
            </w:pPr>
            <w:r>
              <w:rPr>
                <w:sz w:val="22"/>
                <w:szCs w:val="22"/>
              </w:rPr>
              <w:t>Working Time Regulations o</w:t>
            </w:r>
            <w:r w:rsidRPr="00291AAF">
              <w:rPr>
                <w:sz w:val="22"/>
                <w:szCs w:val="22"/>
              </w:rPr>
              <w:t xml:space="preserve">pt </w:t>
            </w:r>
            <w:r>
              <w:rPr>
                <w:sz w:val="22"/>
                <w:szCs w:val="22"/>
              </w:rPr>
              <w:t>o</w:t>
            </w:r>
            <w:r w:rsidRPr="00291AAF">
              <w:rPr>
                <w:sz w:val="22"/>
                <w:szCs w:val="22"/>
              </w:rPr>
              <w:t xml:space="preserve">ut Form </w:t>
            </w:r>
            <w:hyperlink r:id="rId18" w:history="1">
              <w:r w:rsidRPr="00291AAF">
                <w:rPr>
                  <w:color w:val="0000FF"/>
                  <w:sz w:val="22"/>
                  <w:szCs w:val="22"/>
                  <w:u w:val="single"/>
                </w:rPr>
                <w:t>Working times regulations policy | Inside Barnardos</w:t>
              </w:r>
            </w:hyperlink>
            <w:r w:rsidRPr="00291AAF">
              <w:rPr>
                <w:sz w:val="22"/>
                <w:szCs w:val="22"/>
              </w:rPr>
              <w:t xml:space="preserve">.  </w:t>
            </w:r>
          </w:p>
          <w:p w14:paraId="389C0956" w14:textId="319D2DD3" w:rsidR="00A56FFB" w:rsidRPr="00291AAF" w:rsidRDefault="00A56FFB" w:rsidP="00A56FFB">
            <w:pPr>
              <w:numPr>
                <w:ilvl w:val="0"/>
                <w:numId w:val="14"/>
              </w:numPr>
              <w:rPr>
                <w:b/>
                <w:iCs/>
                <w:sz w:val="22"/>
                <w:szCs w:val="22"/>
              </w:rPr>
            </w:pPr>
            <w:r w:rsidRPr="00291AAF">
              <w:rPr>
                <w:sz w:val="22"/>
                <w:szCs w:val="22"/>
              </w:rPr>
              <w:t xml:space="preserve">Annual Leave &amp; Bank holidays Policy </w:t>
            </w:r>
            <w:hyperlink r:id="rId19" w:history="1">
              <w:r w:rsidRPr="00291AAF">
                <w:rPr>
                  <w:rStyle w:val="Hyperlink"/>
                  <w:sz w:val="22"/>
                  <w:szCs w:val="22"/>
                </w:rPr>
                <w:t>Annual leave and bank holiday entitlements | Inside Barnardos</w:t>
              </w:r>
            </w:hyperlink>
          </w:p>
          <w:p w14:paraId="1965FE9D" w14:textId="03E8AFB5" w:rsidR="00A56FFB" w:rsidRPr="009F7190" w:rsidRDefault="00A56FFB" w:rsidP="00A56FFB">
            <w:pPr>
              <w:pStyle w:val="ListParagraph"/>
              <w:numPr>
                <w:ilvl w:val="0"/>
                <w:numId w:val="14"/>
              </w:numPr>
              <w:rPr>
                <w:sz w:val="22"/>
                <w:szCs w:val="22"/>
              </w:rPr>
            </w:pPr>
            <w:r w:rsidRPr="009F7190">
              <w:rPr>
                <w:sz w:val="22"/>
                <w:szCs w:val="22"/>
              </w:rPr>
              <w:t xml:space="preserve">Barnardo’s Hybrid Workplace Offer </w:t>
            </w:r>
            <w:r>
              <w:rPr>
                <w:sz w:val="22"/>
                <w:szCs w:val="22"/>
              </w:rPr>
              <w:t xml:space="preserve">associated </w:t>
            </w:r>
            <w:r w:rsidRPr="009F7190">
              <w:rPr>
                <w:sz w:val="22"/>
                <w:szCs w:val="22"/>
              </w:rPr>
              <w:t>documents</w:t>
            </w:r>
            <w:r>
              <w:rPr>
                <w:sz w:val="22"/>
                <w:szCs w:val="22"/>
              </w:rPr>
              <w:t xml:space="preserve"> </w:t>
            </w:r>
            <w:hyperlink r:id="rId20" w:history="1">
              <w:r w:rsidRPr="009F7190">
                <w:rPr>
                  <w:rStyle w:val="Hyperlink"/>
                  <w:sz w:val="22"/>
                  <w:szCs w:val="22"/>
                </w:rPr>
                <w:t>Hybrid Workplace Offer</w:t>
              </w:r>
            </w:hyperlink>
            <w:r w:rsidRPr="009F7190">
              <w:rPr>
                <w:sz w:val="22"/>
                <w:szCs w:val="22"/>
              </w:rPr>
              <w:t>.</w:t>
            </w:r>
          </w:p>
          <w:p w14:paraId="3499F545" w14:textId="4794F500" w:rsidR="00A56FFB" w:rsidRPr="00291AAF" w:rsidRDefault="00A56FFB" w:rsidP="00A56FFB">
            <w:pPr>
              <w:rPr>
                <w:b/>
                <w:iCs/>
                <w:sz w:val="22"/>
                <w:szCs w:val="22"/>
              </w:rPr>
            </w:pPr>
          </w:p>
        </w:tc>
      </w:tr>
      <w:tr w:rsidR="00A56FFB" w14:paraId="06C77433" w14:textId="77777777" w:rsidTr="00723CF2">
        <w:tc>
          <w:tcPr>
            <w:tcW w:w="10604" w:type="dxa"/>
            <w:gridSpan w:val="7"/>
            <w:shd w:val="clear" w:color="auto" w:fill="92D050"/>
          </w:tcPr>
          <w:p w14:paraId="3438EC21" w14:textId="77777777" w:rsidR="00A56FFB" w:rsidRPr="00155350" w:rsidRDefault="00A56FFB" w:rsidP="00A56FFB">
            <w:pPr>
              <w:pStyle w:val="ListParagraph"/>
              <w:numPr>
                <w:ilvl w:val="0"/>
                <w:numId w:val="2"/>
              </w:numPr>
              <w:ind w:left="284" w:hanging="284"/>
              <w:rPr>
                <w:b/>
                <w:sz w:val="22"/>
                <w:szCs w:val="22"/>
              </w:rPr>
            </w:pPr>
            <w:r>
              <w:rPr>
                <w:b/>
                <w:sz w:val="22"/>
                <w:szCs w:val="22"/>
              </w:rPr>
              <w:lastRenderedPageBreak/>
              <w:t>Compliance and Oversight</w:t>
            </w:r>
          </w:p>
        </w:tc>
      </w:tr>
      <w:tr w:rsidR="00A56FFB" w14:paraId="01C2E1E0" w14:textId="77777777" w:rsidTr="00723CF2">
        <w:tc>
          <w:tcPr>
            <w:tcW w:w="10604" w:type="dxa"/>
            <w:gridSpan w:val="7"/>
          </w:tcPr>
          <w:p w14:paraId="2CC18393" w14:textId="37D91BB7" w:rsidR="00A56FFB" w:rsidRPr="00CD09EA" w:rsidRDefault="00A56FFB" w:rsidP="00A56FFB">
            <w:pPr>
              <w:rPr>
                <w:spacing w:val="-2"/>
                <w:sz w:val="22"/>
                <w:szCs w:val="22"/>
                <w:lang w:eastAsia="en-US"/>
              </w:rPr>
            </w:pPr>
            <w:r w:rsidRPr="00CD09EA">
              <w:rPr>
                <w:spacing w:val="-2"/>
                <w:sz w:val="22"/>
                <w:szCs w:val="22"/>
                <w:lang w:eastAsia="en-US"/>
              </w:rPr>
              <w:t>In addition to the compliance and oversight arrangements set out under Roles and Responsibilities, the following applies:</w:t>
            </w:r>
          </w:p>
          <w:p w14:paraId="1F08FEC5" w14:textId="77777777" w:rsidR="00500194" w:rsidRPr="00CD09EA" w:rsidRDefault="00500194" w:rsidP="00A56FFB">
            <w:pPr>
              <w:rPr>
                <w:spacing w:val="-2"/>
                <w:sz w:val="22"/>
                <w:szCs w:val="22"/>
                <w:lang w:eastAsia="en-US"/>
              </w:rPr>
            </w:pPr>
          </w:p>
          <w:p w14:paraId="16E156FA" w14:textId="576FB778" w:rsidR="00A56FFB" w:rsidRPr="00CD09EA" w:rsidRDefault="00A56FFB" w:rsidP="00500194">
            <w:pPr>
              <w:numPr>
                <w:ilvl w:val="0"/>
                <w:numId w:val="10"/>
              </w:numPr>
              <w:ind w:left="714" w:hanging="357"/>
              <w:rPr>
                <w:spacing w:val="-2"/>
                <w:sz w:val="22"/>
                <w:szCs w:val="22"/>
                <w:lang w:eastAsia="en-US"/>
              </w:rPr>
            </w:pPr>
            <w:r w:rsidRPr="00CD09EA">
              <w:rPr>
                <w:spacing w:val="-2"/>
                <w:sz w:val="22"/>
                <w:szCs w:val="22"/>
                <w:lang w:eastAsia="en-US"/>
              </w:rPr>
              <w:t>The Risk Owner will ensure that management information demonstrating adherence to and compliance with this Policy is produced and provided to relevant parties as required and on request complete a business self-assessment.</w:t>
            </w:r>
          </w:p>
          <w:p w14:paraId="5DD26D9D" w14:textId="5F93E1DD" w:rsidR="00A56FFB" w:rsidRPr="00CD09EA" w:rsidRDefault="00A56FFB" w:rsidP="00500194">
            <w:pPr>
              <w:numPr>
                <w:ilvl w:val="0"/>
                <w:numId w:val="10"/>
              </w:numPr>
              <w:ind w:left="714" w:hanging="357"/>
              <w:rPr>
                <w:spacing w:val="-2"/>
                <w:sz w:val="22"/>
                <w:szCs w:val="22"/>
                <w:lang w:eastAsia="en-US"/>
              </w:rPr>
            </w:pPr>
            <w:r w:rsidRPr="00CD09EA">
              <w:rPr>
                <w:spacing w:val="-2"/>
                <w:sz w:val="22"/>
                <w:szCs w:val="22"/>
                <w:lang w:eastAsia="en-US"/>
              </w:rPr>
              <w:t>The Audit and Assurance Team will periodically and independently review adherence to and compliance with this Policy and associated procedures and processes across the Charity in line with their approved audit and inspection plans.</w:t>
            </w:r>
          </w:p>
          <w:p w14:paraId="072DC3F2" w14:textId="12B7B7FB" w:rsidR="00A56FFB" w:rsidRPr="004F1CAA" w:rsidRDefault="00A56FFB" w:rsidP="00A56FFB">
            <w:pPr>
              <w:rPr>
                <w:sz w:val="22"/>
                <w:szCs w:val="22"/>
              </w:rPr>
            </w:pPr>
          </w:p>
        </w:tc>
      </w:tr>
      <w:tr w:rsidR="00A56FFB" w14:paraId="7A47F8F6" w14:textId="77777777" w:rsidTr="00723CF2">
        <w:tc>
          <w:tcPr>
            <w:tcW w:w="10604" w:type="dxa"/>
            <w:gridSpan w:val="7"/>
            <w:shd w:val="clear" w:color="auto" w:fill="92D050"/>
          </w:tcPr>
          <w:p w14:paraId="2C600260" w14:textId="77777777" w:rsidR="00A56FFB" w:rsidRPr="00155350" w:rsidRDefault="00A56FFB" w:rsidP="00A56FFB">
            <w:pPr>
              <w:pStyle w:val="ListParagraph"/>
              <w:numPr>
                <w:ilvl w:val="0"/>
                <w:numId w:val="2"/>
              </w:numPr>
              <w:ind w:left="284" w:hanging="284"/>
              <w:rPr>
                <w:b/>
                <w:sz w:val="22"/>
                <w:szCs w:val="22"/>
              </w:rPr>
            </w:pPr>
            <w:bookmarkStart w:id="4" w:name="_Hlk62118148"/>
            <w:r>
              <w:rPr>
                <w:b/>
                <w:sz w:val="22"/>
                <w:szCs w:val="22"/>
              </w:rPr>
              <w:t>Document History</w:t>
            </w:r>
          </w:p>
        </w:tc>
      </w:tr>
      <w:bookmarkEnd w:id="4"/>
      <w:tr w:rsidR="00A56FFB" w:rsidRPr="00155350" w14:paraId="71538584" w14:textId="77777777" w:rsidTr="00723CF2">
        <w:trPr>
          <w:trHeight w:val="435"/>
        </w:trPr>
        <w:tc>
          <w:tcPr>
            <w:tcW w:w="1277" w:type="dxa"/>
          </w:tcPr>
          <w:p w14:paraId="3626EF47" w14:textId="77777777" w:rsidR="00A56FFB" w:rsidRPr="00155350" w:rsidRDefault="00A56FFB" w:rsidP="00A56FFB">
            <w:pPr>
              <w:rPr>
                <w:b/>
                <w:sz w:val="22"/>
                <w:szCs w:val="22"/>
              </w:rPr>
            </w:pPr>
            <w:r>
              <w:rPr>
                <w:b/>
                <w:sz w:val="22"/>
                <w:szCs w:val="22"/>
              </w:rPr>
              <w:t>Version</w:t>
            </w:r>
          </w:p>
        </w:tc>
        <w:tc>
          <w:tcPr>
            <w:tcW w:w="1495" w:type="dxa"/>
          </w:tcPr>
          <w:p w14:paraId="0EB63EA7" w14:textId="77777777" w:rsidR="00A56FFB" w:rsidRPr="00155350" w:rsidRDefault="00A56FFB" w:rsidP="00A56FFB">
            <w:pPr>
              <w:rPr>
                <w:b/>
                <w:sz w:val="22"/>
                <w:szCs w:val="22"/>
              </w:rPr>
            </w:pPr>
            <w:r>
              <w:rPr>
                <w:b/>
                <w:sz w:val="22"/>
                <w:szCs w:val="22"/>
              </w:rPr>
              <w:t>Date</w:t>
            </w:r>
          </w:p>
        </w:tc>
        <w:tc>
          <w:tcPr>
            <w:tcW w:w="1868" w:type="dxa"/>
            <w:gridSpan w:val="2"/>
          </w:tcPr>
          <w:p w14:paraId="008E4791" w14:textId="77777777" w:rsidR="00A56FFB" w:rsidRPr="00155350" w:rsidRDefault="00A56FFB" w:rsidP="00A56FFB">
            <w:pPr>
              <w:rPr>
                <w:b/>
                <w:sz w:val="22"/>
                <w:szCs w:val="22"/>
              </w:rPr>
            </w:pPr>
            <w:r>
              <w:rPr>
                <w:b/>
                <w:sz w:val="22"/>
                <w:szCs w:val="22"/>
              </w:rPr>
              <w:t>Author</w:t>
            </w:r>
          </w:p>
        </w:tc>
        <w:tc>
          <w:tcPr>
            <w:tcW w:w="4008" w:type="dxa"/>
            <w:gridSpan w:val="2"/>
          </w:tcPr>
          <w:p w14:paraId="6D5C304F" w14:textId="0171FE12" w:rsidR="00A56FFB" w:rsidRPr="00155350" w:rsidRDefault="00A56FFB" w:rsidP="00A56FFB">
            <w:pPr>
              <w:rPr>
                <w:b/>
                <w:sz w:val="22"/>
                <w:szCs w:val="22"/>
              </w:rPr>
            </w:pPr>
            <w:r>
              <w:rPr>
                <w:b/>
                <w:sz w:val="22"/>
                <w:szCs w:val="22"/>
              </w:rPr>
              <w:t xml:space="preserve">Comments </w:t>
            </w:r>
          </w:p>
        </w:tc>
        <w:tc>
          <w:tcPr>
            <w:tcW w:w="1956" w:type="dxa"/>
          </w:tcPr>
          <w:p w14:paraId="62FAF0AC" w14:textId="77777777" w:rsidR="00A56FFB" w:rsidRDefault="00A56FFB" w:rsidP="00A56FFB">
            <w:pPr>
              <w:rPr>
                <w:b/>
                <w:sz w:val="22"/>
                <w:szCs w:val="22"/>
              </w:rPr>
            </w:pPr>
            <w:r>
              <w:rPr>
                <w:b/>
                <w:sz w:val="22"/>
                <w:szCs w:val="22"/>
              </w:rPr>
              <w:t xml:space="preserve">Approval </w:t>
            </w:r>
          </w:p>
          <w:p w14:paraId="04B62E1B" w14:textId="48BB24E2" w:rsidR="00A56FFB" w:rsidRPr="00155350" w:rsidRDefault="00A56FFB" w:rsidP="00A56FFB">
            <w:pPr>
              <w:rPr>
                <w:b/>
                <w:sz w:val="22"/>
                <w:szCs w:val="22"/>
              </w:rPr>
            </w:pPr>
          </w:p>
        </w:tc>
      </w:tr>
      <w:tr w:rsidR="00A56FFB" w14:paraId="707C39F4" w14:textId="77777777" w:rsidTr="00723CF2">
        <w:tc>
          <w:tcPr>
            <w:tcW w:w="1277" w:type="dxa"/>
          </w:tcPr>
          <w:p w14:paraId="51CCCCF9" w14:textId="4FF93EDA" w:rsidR="00A56FFB" w:rsidRDefault="00A56FFB" w:rsidP="00A56FFB">
            <w:pPr>
              <w:rPr>
                <w:color w:val="000000"/>
                <w:spacing w:val="-2"/>
                <w:sz w:val="22"/>
                <w:szCs w:val="22"/>
                <w:lang w:eastAsia="en-US"/>
              </w:rPr>
            </w:pPr>
            <w:r>
              <w:rPr>
                <w:color w:val="000000"/>
                <w:spacing w:val="-2"/>
                <w:sz w:val="22"/>
                <w:szCs w:val="22"/>
                <w:lang w:eastAsia="en-US"/>
              </w:rPr>
              <w:t>1</w:t>
            </w:r>
          </w:p>
          <w:p w14:paraId="2C361629" w14:textId="6C27B755" w:rsidR="00A56FFB" w:rsidRDefault="00A56FFB" w:rsidP="00A56FFB">
            <w:pPr>
              <w:rPr>
                <w:color w:val="000000"/>
                <w:spacing w:val="-2"/>
                <w:sz w:val="22"/>
                <w:szCs w:val="22"/>
                <w:lang w:eastAsia="en-US"/>
              </w:rPr>
            </w:pPr>
          </w:p>
        </w:tc>
        <w:tc>
          <w:tcPr>
            <w:tcW w:w="1495" w:type="dxa"/>
          </w:tcPr>
          <w:p w14:paraId="31FCEA74" w14:textId="645DD16F" w:rsidR="00A56FFB" w:rsidRDefault="00A56FFB" w:rsidP="00A56FFB">
            <w:pPr>
              <w:rPr>
                <w:color w:val="000000"/>
                <w:spacing w:val="-2"/>
                <w:sz w:val="22"/>
                <w:szCs w:val="22"/>
                <w:lang w:eastAsia="en-US"/>
              </w:rPr>
            </w:pPr>
            <w:r>
              <w:rPr>
                <w:rFonts w:cs="Arial"/>
                <w:sz w:val="22"/>
                <w:szCs w:val="22"/>
                <w:lang w:val="en-US"/>
              </w:rPr>
              <w:t>01.08.2022</w:t>
            </w:r>
          </w:p>
        </w:tc>
        <w:tc>
          <w:tcPr>
            <w:tcW w:w="1868" w:type="dxa"/>
            <w:gridSpan w:val="2"/>
          </w:tcPr>
          <w:p w14:paraId="4EBB2986" w14:textId="0D7194BE" w:rsidR="00A56FFB" w:rsidRDefault="00A56FFB" w:rsidP="00A56FFB">
            <w:pPr>
              <w:rPr>
                <w:color w:val="000000"/>
                <w:spacing w:val="-2"/>
                <w:sz w:val="22"/>
                <w:szCs w:val="22"/>
                <w:lang w:eastAsia="en-US"/>
              </w:rPr>
            </w:pPr>
            <w:r>
              <w:rPr>
                <w:rFonts w:cs="Tahoma"/>
                <w:sz w:val="22"/>
                <w:szCs w:val="22"/>
                <w:lang w:val="en-US"/>
              </w:rPr>
              <w:t>People Strategy &amp; Projects Team</w:t>
            </w:r>
          </w:p>
        </w:tc>
        <w:tc>
          <w:tcPr>
            <w:tcW w:w="4008" w:type="dxa"/>
            <w:gridSpan w:val="2"/>
          </w:tcPr>
          <w:p w14:paraId="7D34DB28" w14:textId="1E504A92" w:rsidR="00A56FFB" w:rsidRDefault="00A56FFB" w:rsidP="00A56FFB">
            <w:pPr>
              <w:rPr>
                <w:color w:val="000000"/>
                <w:spacing w:val="-2"/>
                <w:sz w:val="22"/>
                <w:szCs w:val="22"/>
                <w:lang w:eastAsia="en-US"/>
              </w:rPr>
            </w:pPr>
            <w:r>
              <w:rPr>
                <w:color w:val="000000"/>
                <w:spacing w:val="-2"/>
                <w:sz w:val="22"/>
                <w:szCs w:val="22"/>
                <w:lang w:eastAsia="en-US"/>
              </w:rPr>
              <w:t xml:space="preserve">Minor updating in line with current legislation, working practices and implemented review date  </w:t>
            </w:r>
          </w:p>
        </w:tc>
        <w:tc>
          <w:tcPr>
            <w:tcW w:w="1956" w:type="dxa"/>
          </w:tcPr>
          <w:p w14:paraId="6FC899CB" w14:textId="50A798D2" w:rsidR="00A56FFB" w:rsidRDefault="00A56FFB" w:rsidP="00A56FFB">
            <w:pPr>
              <w:rPr>
                <w:color w:val="000000"/>
                <w:spacing w:val="-2"/>
                <w:sz w:val="22"/>
                <w:szCs w:val="22"/>
                <w:lang w:eastAsia="en-US"/>
              </w:rPr>
            </w:pPr>
            <w:r>
              <w:rPr>
                <w:color w:val="000000"/>
                <w:spacing w:val="-2"/>
                <w:sz w:val="22"/>
                <w:szCs w:val="22"/>
                <w:lang w:eastAsia="en-US"/>
              </w:rPr>
              <w:t>Agreed</w:t>
            </w:r>
          </w:p>
        </w:tc>
      </w:tr>
      <w:tr w:rsidR="00A56FFB" w14:paraId="330D7200" w14:textId="77777777" w:rsidTr="00723CF2">
        <w:tc>
          <w:tcPr>
            <w:tcW w:w="1277" w:type="dxa"/>
          </w:tcPr>
          <w:p w14:paraId="68C830DC" w14:textId="08FBF7BA" w:rsidR="00A56FFB" w:rsidRPr="0064182D" w:rsidRDefault="00A56FFB" w:rsidP="00A56FFB">
            <w:pPr>
              <w:rPr>
                <w:color w:val="000000"/>
                <w:spacing w:val="-2"/>
                <w:lang w:eastAsia="en-US"/>
              </w:rPr>
            </w:pPr>
            <w:r>
              <w:rPr>
                <w:color w:val="000000"/>
                <w:spacing w:val="-2"/>
                <w:lang w:eastAsia="en-US"/>
              </w:rPr>
              <w:t>1.2</w:t>
            </w:r>
          </w:p>
        </w:tc>
        <w:tc>
          <w:tcPr>
            <w:tcW w:w="1495" w:type="dxa"/>
          </w:tcPr>
          <w:p w14:paraId="6307656D" w14:textId="406C0E06" w:rsidR="00A56FFB" w:rsidRDefault="00A56FFB" w:rsidP="00A56FFB">
            <w:pPr>
              <w:rPr>
                <w:color w:val="000000"/>
                <w:spacing w:val="-2"/>
                <w:sz w:val="22"/>
                <w:szCs w:val="22"/>
                <w:lang w:eastAsia="en-US"/>
              </w:rPr>
            </w:pPr>
            <w:r>
              <w:rPr>
                <w:color w:val="000000"/>
                <w:spacing w:val="-2"/>
                <w:sz w:val="22"/>
                <w:szCs w:val="22"/>
                <w:lang w:eastAsia="en-US"/>
              </w:rPr>
              <w:t>1</w:t>
            </w:r>
            <w:r w:rsidR="00C8236C">
              <w:rPr>
                <w:color w:val="000000"/>
                <w:spacing w:val="-2"/>
                <w:sz w:val="22"/>
                <w:szCs w:val="22"/>
                <w:lang w:eastAsia="en-US"/>
              </w:rPr>
              <w:t>6</w:t>
            </w:r>
            <w:r>
              <w:rPr>
                <w:color w:val="000000"/>
                <w:spacing w:val="-2"/>
                <w:sz w:val="22"/>
                <w:szCs w:val="22"/>
                <w:lang w:eastAsia="en-US"/>
              </w:rPr>
              <w:t>.08.2022</w:t>
            </w:r>
          </w:p>
        </w:tc>
        <w:tc>
          <w:tcPr>
            <w:tcW w:w="1868" w:type="dxa"/>
            <w:gridSpan w:val="2"/>
          </w:tcPr>
          <w:p w14:paraId="2DCAE9F4" w14:textId="017CC5B6" w:rsidR="00A56FFB" w:rsidRDefault="00A56FFB" w:rsidP="00A56FFB">
            <w:pPr>
              <w:rPr>
                <w:color w:val="000000"/>
                <w:spacing w:val="-2"/>
                <w:sz w:val="22"/>
                <w:szCs w:val="22"/>
                <w:lang w:eastAsia="en-US"/>
              </w:rPr>
            </w:pPr>
            <w:r>
              <w:rPr>
                <w:color w:val="000000"/>
                <w:spacing w:val="-2"/>
                <w:sz w:val="22"/>
                <w:szCs w:val="22"/>
                <w:lang w:eastAsia="en-US"/>
              </w:rPr>
              <w:t>People Strategy &amp; Projects Team</w:t>
            </w:r>
          </w:p>
        </w:tc>
        <w:tc>
          <w:tcPr>
            <w:tcW w:w="4008" w:type="dxa"/>
            <w:gridSpan w:val="2"/>
          </w:tcPr>
          <w:p w14:paraId="5C7E09EF" w14:textId="4D428513" w:rsidR="00A56FFB" w:rsidRDefault="00A56FFB" w:rsidP="00A56FFB">
            <w:pPr>
              <w:rPr>
                <w:color w:val="000000"/>
                <w:spacing w:val="-2"/>
                <w:sz w:val="22"/>
                <w:szCs w:val="22"/>
                <w:lang w:eastAsia="en-US"/>
              </w:rPr>
            </w:pPr>
            <w:r>
              <w:rPr>
                <w:rFonts w:cs="Tahoma"/>
                <w:sz w:val="22"/>
                <w:szCs w:val="22"/>
                <w:lang w:val="en-US"/>
              </w:rPr>
              <w:t>Update to New Policy Statement Template</w:t>
            </w:r>
          </w:p>
        </w:tc>
        <w:tc>
          <w:tcPr>
            <w:tcW w:w="1956" w:type="dxa"/>
          </w:tcPr>
          <w:p w14:paraId="6A4FFCEC" w14:textId="7367851B" w:rsidR="00A56FFB" w:rsidRDefault="00A56FFB" w:rsidP="00A56FFB">
            <w:pPr>
              <w:rPr>
                <w:color w:val="000000"/>
                <w:spacing w:val="-2"/>
                <w:sz w:val="22"/>
                <w:szCs w:val="22"/>
                <w:lang w:eastAsia="en-US"/>
              </w:rPr>
            </w:pPr>
            <w:r>
              <w:rPr>
                <w:color w:val="000000"/>
                <w:spacing w:val="-2"/>
                <w:sz w:val="22"/>
                <w:szCs w:val="22"/>
                <w:lang w:eastAsia="en-US"/>
              </w:rPr>
              <w:t>Agreed</w:t>
            </w:r>
          </w:p>
        </w:tc>
      </w:tr>
    </w:tbl>
    <w:p w14:paraId="58B1B536" w14:textId="77777777" w:rsidR="00CE1492" w:rsidRPr="001B6598" w:rsidRDefault="00CE1492" w:rsidP="00CE1492">
      <w:pPr>
        <w:rPr>
          <w:rFonts w:cs="Verdana"/>
          <w:sz w:val="22"/>
          <w:szCs w:val="22"/>
        </w:rPr>
      </w:pPr>
    </w:p>
    <w:sectPr w:rsidR="00CE1492" w:rsidRPr="001B6598">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B747" w14:textId="77777777" w:rsidR="00BB567F" w:rsidRDefault="00BB567F" w:rsidP="00705A74">
      <w:r>
        <w:separator/>
      </w:r>
    </w:p>
  </w:endnote>
  <w:endnote w:type="continuationSeparator" w:id="0">
    <w:p w14:paraId="3E4C50C9" w14:textId="77777777" w:rsidR="00BB567F" w:rsidRDefault="00BB567F"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3D14E5"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232D" w14:textId="77777777" w:rsidR="00BB567F" w:rsidRDefault="00BB567F" w:rsidP="00705A74">
      <w:r>
        <w:separator/>
      </w:r>
    </w:p>
  </w:footnote>
  <w:footnote w:type="continuationSeparator" w:id="0">
    <w:p w14:paraId="369094E4" w14:textId="77777777" w:rsidR="00BB567F" w:rsidRDefault="00BB567F" w:rsidP="0070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6B"/>
    <w:multiLevelType w:val="hybridMultilevel"/>
    <w:tmpl w:val="813E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5508"/>
    <w:multiLevelType w:val="multilevel"/>
    <w:tmpl w:val="BE52C7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908F8"/>
    <w:multiLevelType w:val="hybridMultilevel"/>
    <w:tmpl w:val="61BE36D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 w15:restartNumberingAfterBreak="0">
    <w:nsid w:val="27A77BE2"/>
    <w:multiLevelType w:val="hybridMultilevel"/>
    <w:tmpl w:val="E588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94AD7"/>
    <w:multiLevelType w:val="hybridMultilevel"/>
    <w:tmpl w:val="AC5E1ED0"/>
    <w:lvl w:ilvl="0" w:tplc="616A7C62">
      <w:start w:val="1"/>
      <w:numFmt w:val="decimal"/>
      <w:lvlText w:val="%1."/>
      <w:lvlJc w:val="left"/>
      <w:pPr>
        <w:tabs>
          <w:tab w:val="num" w:pos="906"/>
        </w:tabs>
        <w:ind w:left="906" w:hanging="453"/>
      </w:pPr>
      <w:rPr>
        <w:rFonts w:hint="default"/>
        <w:i w:val="0"/>
        <w:iCs w:val="0"/>
        <w:color w:val="auto"/>
      </w:rPr>
    </w:lvl>
    <w:lvl w:ilvl="1" w:tplc="08090019">
      <w:start w:val="1"/>
      <w:numFmt w:val="lowerLetter"/>
      <w:lvlText w:val="%2."/>
      <w:lvlJc w:val="left"/>
      <w:pPr>
        <w:tabs>
          <w:tab w:val="num" w:pos="1609"/>
        </w:tabs>
        <w:ind w:left="1609" w:hanging="360"/>
      </w:pPr>
    </w:lvl>
    <w:lvl w:ilvl="2" w:tplc="0809001B">
      <w:start w:val="1"/>
      <w:numFmt w:val="lowerRoman"/>
      <w:lvlText w:val="%3."/>
      <w:lvlJc w:val="right"/>
      <w:pPr>
        <w:tabs>
          <w:tab w:val="num" w:pos="2329"/>
        </w:tabs>
        <w:ind w:left="2329" w:hanging="180"/>
      </w:pPr>
    </w:lvl>
    <w:lvl w:ilvl="3" w:tplc="0809000F">
      <w:start w:val="1"/>
      <w:numFmt w:val="decimal"/>
      <w:lvlText w:val="%4."/>
      <w:lvlJc w:val="left"/>
      <w:pPr>
        <w:tabs>
          <w:tab w:val="num" w:pos="3049"/>
        </w:tabs>
        <w:ind w:left="3049" w:hanging="360"/>
      </w:pPr>
    </w:lvl>
    <w:lvl w:ilvl="4" w:tplc="08090019" w:tentative="1">
      <w:start w:val="1"/>
      <w:numFmt w:val="lowerLetter"/>
      <w:lvlText w:val="%5."/>
      <w:lvlJc w:val="left"/>
      <w:pPr>
        <w:tabs>
          <w:tab w:val="num" w:pos="3769"/>
        </w:tabs>
        <w:ind w:left="3769" w:hanging="360"/>
      </w:pPr>
    </w:lvl>
    <w:lvl w:ilvl="5" w:tplc="0809001B" w:tentative="1">
      <w:start w:val="1"/>
      <w:numFmt w:val="lowerRoman"/>
      <w:lvlText w:val="%6."/>
      <w:lvlJc w:val="right"/>
      <w:pPr>
        <w:tabs>
          <w:tab w:val="num" w:pos="4489"/>
        </w:tabs>
        <w:ind w:left="4489" w:hanging="180"/>
      </w:pPr>
    </w:lvl>
    <w:lvl w:ilvl="6" w:tplc="0809000F" w:tentative="1">
      <w:start w:val="1"/>
      <w:numFmt w:val="decimal"/>
      <w:lvlText w:val="%7."/>
      <w:lvlJc w:val="left"/>
      <w:pPr>
        <w:tabs>
          <w:tab w:val="num" w:pos="5209"/>
        </w:tabs>
        <w:ind w:left="5209" w:hanging="360"/>
      </w:pPr>
    </w:lvl>
    <w:lvl w:ilvl="7" w:tplc="08090019" w:tentative="1">
      <w:start w:val="1"/>
      <w:numFmt w:val="lowerLetter"/>
      <w:lvlText w:val="%8."/>
      <w:lvlJc w:val="left"/>
      <w:pPr>
        <w:tabs>
          <w:tab w:val="num" w:pos="5929"/>
        </w:tabs>
        <w:ind w:left="5929" w:hanging="360"/>
      </w:pPr>
    </w:lvl>
    <w:lvl w:ilvl="8" w:tplc="0809001B" w:tentative="1">
      <w:start w:val="1"/>
      <w:numFmt w:val="lowerRoman"/>
      <w:lvlText w:val="%9."/>
      <w:lvlJc w:val="right"/>
      <w:pPr>
        <w:tabs>
          <w:tab w:val="num" w:pos="6649"/>
        </w:tabs>
        <w:ind w:left="6649" w:hanging="180"/>
      </w:pPr>
    </w:lvl>
  </w:abstractNum>
  <w:abstractNum w:abstractNumId="10"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E463F"/>
    <w:multiLevelType w:val="multilevel"/>
    <w:tmpl w:val="6562C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52D76"/>
    <w:multiLevelType w:val="hybridMultilevel"/>
    <w:tmpl w:val="579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F303F"/>
    <w:multiLevelType w:val="multilevel"/>
    <w:tmpl w:val="5F080C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407087"/>
    <w:multiLevelType w:val="hybridMultilevel"/>
    <w:tmpl w:val="5668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21AA5"/>
    <w:multiLevelType w:val="hybridMultilevel"/>
    <w:tmpl w:val="7864FF88"/>
    <w:lvl w:ilvl="0" w:tplc="2FB241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B6C71"/>
    <w:multiLevelType w:val="hybridMultilevel"/>
    <w:tmpl w:val="CD6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E0812"/>
    <w:multiLevelType w:val="multilevel"/>
    <w:tmpl w:val="74569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A7244"/>
    <w:multiLevelType w:val="multilevel"/>
    <w:tmpl w:val="E63895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F28E4"/>
    <w:multiLevelType w:val="multilevel"/>
    <w:tmpl w:val="D35C14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14145"/>
    <w:multiLevelType w:val="multilevel"/>
    <w:tmpl w:val="8D906BB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5EC1554D"/>
    <w:multiLevelType w:val="hybridMultilevel"/>
    <w:tmpl w:val="FEB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51DE3"/>
    <w:multiLevelType w:val="multilevel"/>
    <w:tmpl w:val="A266D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19616844">
    <w:abstractNumId w:val="10"/>
  </w:num>
  <w:num w:numId="2" w16cid:durableId="1697733336">
    <w:abstractNumId w:val="6"/>
  </w:num>
  <w:num w:numId="3" w16cid:durableId="1603142389">
    <w:abstractNumId w:val="26"/>
  </w:num>
  <w:num w:numId="4" w16cid:durableId="157314036">
    <w:abstractNumId w:val="24"/>
  </w:num>
  <w:num w:numId="5" w16cid:durableId="996570614">
    <w:abstractNumId w:val="5"/>
  </w:num>
  <w:num w:numId="6" w16cid:durableId="1962417033">
    <w:abstractNumId w:val="28"/>
  </w:num>
  <w:num w:numId="7" w16cid:durableId="1157267184">
    <w:abstractNumId w:val="4"/>
  </w:num>
  <w:num w:numId="8" w16cid:durableId="710107181">
    <w:abstractNumId w:val="7"/>
  </w:num>
  <w:num w:numId="9" w16cid:durableId="173805070">
    <w:abstractNumId w:val="8"/>
  </w:num>
  <w:num w:numId="10" w16cid:durableId="365838009">
    <w:abstractNumId w:val="11"/>
  </w:num>
  <w:num w:numId="11" w16cid:durableId="1751192111">
    <w:abstractNumId w:val="27"/>
  </w:num>
  <w:num w:numId="12" w16cid:durableId="2017536869">
    <w:abstractNumId w:val="23"/>
  </w:num>
  <w:num w:numId="13" w16cid:durableId="2022858222">
    <w:abstractNumId w:val="25"/>
  </w:num>
  <w:num w:numId="14" w16cid:durableId="35668352">
    <w:abstractNumId w:val="22"/>
  </w:num>
  <w:num w:numId="15" w16cid:durableId="648898196">
    <w:abstractNumId w:val="9"/>
  </w:num>
  <w:num w:numId="16" w16cid:durableId="1184972792">
    <w:abstractNumId w:val="13"/>
  </w:num>
  <w:num w:numId="17" w16cid:durableId="752048234">
    <w:abstractNumId w:val="2"/>
  </w:num>
  <w:num w:numId="18" w16cid:durableId="1911967103">
    <w:abstractNumId w:val="15"/>
  </w:num>
  <w:num w:numId="19" w16cid:durableId="1361710354">
    <w:abstractNumId w:val="18"/>
  </w:num>
  <w:num w:numId="20" w16cid:durableId="470903090">
    <w:abstractNumId w:val="19"/>
  </w:num>
  <w:num w:numId="21" w16cid:durableId="1063673645">
    <w:abstractNumId w:val="14"/>
  </w:num>
  <w:num w:numId="22" w16cid:durableId="2116248407">
    <w:abstractNumId w:val="29"/>
  </w:num>
  <w:num w:numId="23" w16cid:durableId="1124271546">
    <w:abstractNumId w:val="20"/>
  </w:num>
  <w:num w:numId="24" w16cid:durableId="1425686190">
    <w:abstractNumId w:val="1"/>
  </w:num>
  <w:num w:numId="25" w16cid:durableId="1692796495">
    <w:abstractNumId w:val="12"/>
  </w:num>
  <w:num w:numId="26" w16cid:durableId="862329363">
    <w:abstractNumId w:val="3"/>
  </w:num>
  <w:num w:numId="27" w16cid:durableId="1154445896">
    <w:abstractNumId w:val="0"/>
  </w:num>
  <w:num w:numId="28" w16cid:durableId="576020447">
    <w:abstractNumId w:val="16"/>
  </w:num>
  <w:num w:numId="29" w16cid:durableId="1584492343">
    <w:abstractNumId w:val="17"/>
  </w:num>
  <w:num w:numId="30" w16cid:durableId="19044392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5B32"/>
    <w:rsid w:val="00013317"/>
    <w:rsid w:val="00014E5F"/>
    <w:rsid w:val="00015CBF"/>
    <w:rsid w:val="0003202D"/>
    <w:rsid w:val="000366C5"/>
    <w:rsid w:val="00037E1B"/>
    <w:rsid w:val="00057B3C"/>
    <w:rsid w:val="00061B7B"/>
    <w:rsid w:val="00082F09"/>
    <w:rsid w:val="00086AE8"/>
    <w:rsid w:val="00092343"/>
    <w:rsid w:val="000C644D"/>
    <w:rsid w:val="000E4296"/>
    <w:rsid w:val="000F7C2B"/>
    <w:rsid w:val="0010571D"/>
    <w:rsid w:val="001117C8"/>
    <w:rsid w:val="0012168C"/>
    <w:rsid w:val="00122782"/>
    <w:rsid w:val="00140936"/>
    <w:rsid w:val="001424D4"/>
    <w:rsid w:val="00143D87"/>
    <w:rsid w:val="00152154"/>
    <w:rsid w:val="0015344A"/>
    <w:rsid w:val="00155350"/>
    <w:rsid w:val="001639DF"/>
    <w:rsid w:val="00174C87"/>
    <w:rsid w:val="001810E2"/>
    <w:rsid w:val="0019152E"/>
    <w:rsid w:val="00194482"/>
    <w:rsid w:val="001A11F5"/>
    <w:rsid w:val="001A18A6"/>
    <w:rsid w:val="001A6C83"/>
    <w:rsid w:val="001B3C78"/>
    <w:rsid w:val="001B5417"/>
    <w:rsid w:val="001C53FD"/>
    <w:rsid w:val="001F3752"/>
    <w:rsid w:val="002005E2"/>
    <w:rsid w:val="002227DD"/>
    <w:rsid w:val="00224F69"/>
    <w:rsid w:val="00234890"/>
    <w:rsid w:val="00265B93"/>
    <w:rsid w:val="00266453"/>
    <w:rsid w:val="00282B3B"/>
    <w:rsid w:val="00291AAF"/>
    <w:rsid w:val="002A0A69"/>
    <w:rsid w:val="002A2161"/>
    <w:rsid w:val="002B3B39"/>
    <w:rsid w:val="002D01A4"/>
    <w:rsid w:val="002F0630"/>
    <w:rsid w:val="00311CA0"/>
    <w:rsid w:val="003125EF"/>
    <w:rsid w:val="00322131"/>
    <w:rsid w:val="00326D30"/>
    <w:rsid w:val="0033230A"/>
    <w:rsid w:val="0033575A"/>
    <w:rsid w:val="0033580D"/>
    <w:rsid w:val="00337599"/>
    <w:rsid w:val="00345775"/>
    <w:rsid w:val="003A075A"/>
    <w:rsid w:val="003A1112"/>
    <w:rsid w:val="003B1FF0"/>
    <w:rsid w:val="003C4661"/>
    <w:rsid w:val="003C4981"/>
    <w:rsid w:val="003D14E5"/>
    <w:rsid w:val="003E1D5F"/>
    <w:rsid w:val="003F518C"/>
    <w:rsid w:val="00412D33"/>
    <w:rsid w:val="00413916"/>
    <w:rsid w:val="00416317"/>
    <w:rsid w:val="0042055A"/>
    <w:rsid w:val="00436530"/>
    <w:rsid w:val="004448AC"/>
    <w:rsid w:val="004520C4"/>
    <w:rsid w:val="00454A8B"/>
    <w:rsid w:val="00456F2B"/>
    <w:rsid w:val="00457E1A"/>
    <w:rsid w:val="004934E8"/>
    <w:rsid w:val="004A2DA9"/>
    <w:rsid w:val="004B55F2"/>
    <w:rsid w:val="004D5017"/>
    <w:rsid w:val="004E0D8A"/>
    <w:rsid w:val="004E36C2"/>
    <w:rsid w:val="004F1CAA"/>
    <w:rsid w:val="00500194"/>
    <w:rsid w:val="0050028C"/>
    <w:rsid w:val="00504FAF"/>
    <w:rsid w:val="00511F18"/>
    <w:rsid w:val="00516581"/>
    <w:rsid w:val="005720EB"/>
    <w:rsid w:val="00576E9A"/>
    <w:rsid w:val="00581919"/>
    <w:rsid w:val="00583230"/>
    <w:rsid w:val="005837A1"/>
    <w:rsid w:val="00590D32"/>
    <w:rsid w:val="00590E53"/>
    <w:rsid w:val="0059474B"/>
    <w:rsid w:val="005A2A83"/>
    <w:rsid w:val="005C4EE9"/>
    <w:rsid w:val="005D4A19"/>
    <w:rsid w:val="00602062"/>
    <w:rsid w:val="00621EC0"/>
    <w:rsid w:val="0064182D"/>
    <w:rsid w:val="00650776"/>
    <w:rsid w:val="00650D3E"/>
    <w:rsid w:val="006543DF"/>
    <w:rsid w:val="00657471"/>
    <w:rsid w:val="0067184E"/>
    <w:rsid w:val="00676F80"/>
    <w:rsid w:val="00696929"/>
    <w:rsid w:val="006D3402"/>
    <w:rsid w:val="006E6F26"/>
    <w:rsid w:val="006F48FD"/>
    <w:rsid w:val="00705A74"/>
    <w:rsid w:val="007151FC"/>
    <w:rsid w:val="00723CF2"/>
    <w:rsid w:val="00742C12"/>
    <w:rsid w:val="00746A95"/>
    <w:rsid w:val="00767F81"/>
    <w:rsid w:val="00770813"/>
    <w:rsid w:val="00772287"/>
    <w:rsid w:val="0077727C"/>
    <w:rsid w:val="0078538D"/>
    <w:rsid w:val="00786A6C"/>
    <w:rsid w:val="00796F3F"/>
    <w:rsid w:val="007A1BF1"/>
    <w:rsid w:val="007B23FB"/>
    <w:rsid w:val="007C6CB0"/>
    <w:rsid w:val="007D0D5D"/>
    <w:rsid w:val="007D204A"/>
    <w:rsid w:val="007D608E"/>
    <w:rsid w:val="007E1A94"/>
    <w:rsid w:val="00800A54"/>
    <w:rsid w:val="00806484"/>
    <w:rsid w:val="008077FF"/>
    <w:rsid w:val="008150E6"/>
    <w:rsid w:val="00826670"/>
    <w:rsid w:val="00835145"/>
    <w:rsid w:val="00843B34"/>
    <w:rsid w:val="00853142"/>
    <w:rsid w:val="00892F33"/>
    <w:rsid w:val="0089339D"/>
    <w:rsid w:val="008A1282"/>
    <w:rsid w:val="008A32C1"/>
    <w:rsid w:val="008B11D9"/>
    <w:rsid w:val="008B3303"/>
    <w:rsid w:val="008B5459"/>
    <w:rsid w:val="008E106C"/>
    <w:rsid w:val="008F7131"/>
    <w:rsid w:val="00900571"/>
    <w:rsid w:val="00900F11"/>
    <w:rsid w:val="00902497"/>
    <w:rsid w:val="00982146"/>
    <w:rsid w:val="009A079F"/>
    <w:rsid w:val="009A3713"/>
    <w:rsid w:val="009B282A"/>
    <w:rsid w:val="009C0711"/>
    <w:rsid w:val="009C1235"/>
    <w:rsid w:val="009F7190"/>
    <w:rsid w:val="00A104FE"/>
    <w:rsid w:val="00A106BB"/>
    <w:rsid w:val="00A322ED"/>
    <w:rsid w:val="00A47DAE"/>
    <w:rsid w:val="00A51437"/>
    <w:rsid w:val="00A56FFB"/>
    <w:rsid w:val="00A70611"/>
    <w:rsid w:val="00A8706E"/>
    <w:rsid w:val="00A94AEB"/>
    <w:rsid w:val="00AB1A64"/>
    <w:rsid w:val="00AB447F"/>
    <w:rsid w:val="00AC0A74"/>
    <w:rsid w:val="00AC6946"/>
    <w:rsid w:val="00AE21E8"/>
    <w:rsid w:val="00AF484F"/>
    <w:rsid w:val="00AF7928"/>
    <w:rsid w:val="00B21769"/>
    <w:rsid w:val="00B21E8D"/>
    <w:rsid w:val="00B46BCE"/>
    <w:rsid w:val="00B54997"/>
    <w:rsid w:val="00B62F61"/>
    <w:rsid w:val="00B71330"/>
    <w:rsid w:val="00B84E1A"/>
    <w:rsid w:val="00B916A7"/>
    <w:rsid w:val="00B952EB"/>
    <w:rsid w:val="00BA4861"/>
    <w:rsid w:val="00BB567F"/>
    <w:rsid w:val="00BD7CEC"/>
    <w:rsid w:val="00BE484B"/>
    <w:rsid w:val="00BF50C1"/>
    <w:rsid w:val="00C4297B"/>
    <w:rsid w:val="00C54402"/>
    <w:rsid w:val="00C5731D"/>
    <w:rsid w:val="00C819AA"/>
    <w:rsid w:val="00C8236C"/>
    <w:rsid w:val="00CA4BB2"/>
    <w:rsid w:val="00CD09EA"/>
    <w:rsid w:val="00CD1CE4"/>
    <w:rsid w:val="00CE1492"/>
    <w:rsid w:val="00CE3007"/>
    <w:rsid w:val="00CE6564"/>
    <w:rsid w:val="00D04253"/>
    <w:rsid w:val="00D04986"/>
    <w:rsid w:val="00D06FAF"/>
    <w:rsid w:val="00D247D7"/>
    <w:rsid w:val="00D37B8D"/>
    <w:rsid w:val="00D61D51"/>
    <w:rsid w:val="00D919B7"/>
    <w:rsid w:val="00DA52C5"/>
    <w:rsid w:val="00DC20E8"/>
    <w:rsid w:val="00DC3862"/>
    <w:rsid w:val="00DC4295"/>
    <w:rsid w:val="00DE7BF6"/>
    <w:rsid w:val="00E05510"/>
    <w:rsid w:val="00E06EE0"/>
    <w:rsid w:val="00E07AD4"/>
    <w:rsid w:val="00E12602"/>
    <w:rsid w:val="00E17F17"/>
    <w:rsid w:val="00E232E7"/>
    <w:rsid w:val="00E328F5"/>
    <w:rsid w:val="00E3431F"/>
    <w:rsid w:val="00E50690"/>
    <w:rsid w:val="00E77D4E"/>
    <w:rsid w:val="00E864D2"/>
    <w:rsid w:val="00E94472"/>
    <w:rsid w:val="00EB25D0"/>
    <w:rsid w:val="00EB7E64"/>
    <w:rsid w:val="00EC0C09"/>
    <w:rsid w:val="00ED687C"/>
    <w:rsid w:val="00EE5AAB"/>
    <w:rsid w:val="00EE5C6F"/>
    <w:rsid w:val="00EE6107"/>
    <w:rsid w:val="00EF38FB"/>
    <w:rsid w:val="00F25CA0"/>
    <w:rsid w:val="00F268E9"/>
    <w:rsid w:val="00F36A84"/>
    <w:rsid w:val="00F4478D"/>
    <w:rsid w:val="00F54CE7"/>
    <w:rsid w:val="00F800C0"/>
    <w:rsid w:val="00F80868"/>
    <w:rsid w:val="00F867A3"/>
    <w:rsid w:val="00F9145D"/>
    <w:rsid w:val="00FA2E6A"/>
    <w:rsid w:val="00FA61FB"/>
    <w:rsid w:val="00FB2AC3"/>
    <w:rsid w:val="00FE6879"/>
    <w:rsid w:val="00FF1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DBCA83EA-C916-438C-B028-6087AE06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2">
    <w:name w:val="heading 2"/>
    <w:basedOn w:val="Normal"/>
    <w:link w:val="Heading2Char"/>
    <w:uiPriority w:val="9"/>
    <w:qFormat/>
    <w:rsid w:val="0003202D"/>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C5440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104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styleId="Emphasis">
    <w:name w:val="Emphasis"/>
    <w:aliases w:val="2nd heading,2 heading"/>
    <w:qFormat/>
    <w:rsid w:val="00F80868"/>
    <w:rPr>
      <w:rFonts w:ascii="Verdana" w:hAnsi="Verdana"/>
      <w:b/>
      <w:i w:val="0"/>
      <w:iCs/>
      <w:sz w:val="24"/>
    </w:rPr>
  </w:style>
  <w:style w:type="character" w:styleId="Hyperlink">
    <w:name w:val="Hyperlink"/>
    <w:rsid w:val="008B11D9"/>
    <w:rPr>
      <w:color w:val="0000FF"/>
      <w:u w:val="single"/>
    </w:rPr>
  </w:style>
  <w:style w:type="paragraph" w:styleId="NormalWeb">
    <w:name w:val="Normal (Web)"/>
    <w:basedOn w:val="Normal"/>
    <w:uiPriority w:val="99"/>
    <w:rsid w:val="00C5731D"/>
    <w:pPr>
      <w:spacing w:before="100" w:beforeAutospacing="1" w:after="100" w:afterAutospacing="1"/>
    </w:pPr>
    <w:rPr>
      <w:rFonts w:ascii="Times New Roman" w:hAnsi="Times New Roman"/>
      <w:color w:val="000000"/>
      <w:lang w:val="en-US" w:eastAsia="en-US"/>
    </w:rPr>
  </w:style>
  <w:style w:type="character" w:styleId="CommentReference">
    <w:name w:val="annotation reference"/>
    <w:basedOn w:val="DefaultParagraphFont"/>
    <w:semiHidden/>
    <w:unhideWhenUsed/>
    <w:rsid w:val="002D01A4"/>
    <w:rPr>
      <w:sz w:val="16"/>
      <w:szCs w:val="16"/>
    </w:rPr>
  </w:style>
  <w:style w:type="paragraph" w:styleId="CommentText">
    <w:name w:val="annotation text"/>
    <w:basedOn w:val="Normal"/>
    <w:link w:val="CommentTextChar"/>
    <w:unhideWhenUsed/>
    <w:rsid w:val="002D01A4"/>
    <w:rPr>
      <w:sz w:val="20"/>
      <w:szCs w:val="20"/>
    </w:rPr>
  </w:style>
  <w:style w:type="character" w:customStyle="1" w:styleId="CommentTextChar">
    <w:name w:val="Comment Text Char"/>
    <w:basedOn w:val="DefaultParagraphFont"/>
    <w:link w:val="CommentText"/>
    <w:rsid w:val="002D01A4"/>
    <w:rPr>
      <w:sz w:val="20"/>
      <w:szCs w:val="20"/>
    </w:rPr>
  </w:style>
  <w:style w:type="paragraph" w:styleId="CommentSubject">
    <w:name w:val="annotation subject"/>
    <w:basedOn w:val="CommentText"/>
    <w:next w:val="CommentText"/>
    <w:link w:val="CommentSubjectChar"/>
    <w:semiHidden/>
    <w:unhideWhenUsed/>
    <w:rsid w:val="002D01A4"/>
    <w:rPr>
      <w:b/>
      <w:bCs/>
    </w:rPr>
  </w:style>
  <w:style w:type="character" w:customStyle="1" w:styleId="CommentSubjectChar">
    <w:name w:val="Comment Subject Char"/>
    <w:basedOn w:val="CommentTextChar"/>
    <w:link w:val="CommentSubject"/>
    <w:semiHidden/>
    <w:rsid w:val="002D01A4"/>
    <w:rPr>
      <w:b/>
      <w:bCs/>
      <w:sz w:val="20"/>
      <w:szCs w:val="20"/>
    </w:rPr>
  </w:style>
  <w:style w:type="character" w:styleId="FollowedHyperlink">
    <w:name w:val="FollowedHyperlink"/>
    <w:basedOn w:val="DefaultParagraphFont"/>
    <w:semiHidden/>
    <w:unhideWhenUsed/>
    <w:rsid w:val="00A47DAE"/>
    <w:rPr>
      <w:color w:val="800080" w:themeColor="followedHyperlink"/>
      <w:u w:val="single"/>
    </w:rPr>
  </w:style>
  <w:style w:type="paragraph" w:styleId="Revision">
    <w:name w:val="Revision"/>
    <w:hidden/>
    <w:uiPriority w:val="99"/>
    <w:semiHidden/>
    <w:rsid w:val="005C4EE9"/>
  </w:style>
  <w:style w:type="character" w:styleId="UnresolvedMention">
    <w:name w:val="Unresolved Mention"/>
    <w:basedOn w:val="DefaultParagraphFont"/>
    <w:uiPriority w:val="99"/>
    <w:semiHidden/>
    <w:unhideWhenUsed/>
    <w:rsid w:val="00676F80"/>
    <w:rPr>
      <w:color w:val="605E5C"/>
      <w:shd w:val="clear" w:color="auto" w:fill="E1DFDD"/>
    </w:rPr>
  </w:style>
  <w:style w:type="paragraph" w:customStyle="1" w:styleId="TableParagraph">
    <w:name w:val="Table Paragraph"/>
    <w:basedOn w:val="Normal"/>
    <w:uiPriority w:val="1"/>
    <w:qFormat/>
    <w:rsid w:val="00152154"/>
    <w:pPr>
      <w:widowControl w:val="0"/>
      <w:autoSpaceDE w:val="0"/>
      <w:autoSpaceDN w:val="0"/>
      <w:ind w:left="14"/>
    </w:pPr>
    <w:rPr>
      <w:rFonts w:eastAsia="Verdana" w:cs="Verdana"/>
      <w:sz w:val="22"/>
      <w:szCs w:val="22"/>
      <w:lang w:bidi="en-GB"/>
    </w:rPr>
  </w:style>
  <w:style w:type="character" w:customStyle="1" w:styleId="Heading2Char">
    <w:name w:val="Heading 2 Char"/>
    <w:basedOn w:val="DefaultParagraphFont"/>
    <w:link w:val="Heading2"/>
    <w:uiPriority w:val="9"/>
    <w:rsid w:val="0003202D"/>
    <w:rPr>
      <w:rFonts w:ascii="Times New Roman" w:hAnsi="Times New Roman"/>
      <w:b/>
      <w:bCs/>
      <w:sz w:val="36"/>
      <w:szCs w:val="36"/>
    </w:rPr>
  </w:style>
  <w:style w:type="character" w:customStyle="1" w:styleId="Heading4Char">
    <w:name w:val="Heading 4 Char"/>
    <w:basedOn w:val="DefaultParagraphFont"/>
    <w:link w:val="Heading4"/>
    <w:semiHidden/>
    <w:rsid w:val="00A104FE"/>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C54402"/>
    <w:rPr>
      <w:rFonts w:asciiTheme="majorHAnsi" w:eastAsiaTheme="majorEastAsia" w:hAnsiTheme="majorHAnsi" w:cstheme="majorBidi"/>
      <w:color w:val="243F60" w:themeColor="accent1" w:themeShade="7F"/>
    </w:rPr>
  </w:style>
  <w:style w:type="table" w:customStyle="1" w:styleId="TableGrid1">
    <w:name w:val="Table Grid1"/>
    <w:uiPriority w:val="59"/>
    <w:rsid w:val="00CE149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0">
    <w:name w:val="pf0"/>
    <w:basedOn w:val="Normal"/>
    <w:rsid w:val="0033230A"/>
    <w:pPr>
      <w:spacing w:before="100" w:beforeAutospacing="1" w:after="100" w:afterAutospacing="1"/>
    </w:pPr>
    <w:rPr>
      <w:rFonts w:ascii="Times New Roman" w:hAnsi="Times New Roman"/>
    </w:rPr>
  </w:style>
  <w:style w:type="character" w:customStyle="1" w:styleId="cf01">
    <w:name w:val="cf01"/>
    <w:basedOn w:val="DefaultParagraphFont"/>
    <w:rsid w:val="003323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707">
      <w:bodyDiv w:val="1"/>
      <w:marLeft w:val="0"/>
      <w:marRight w:val="0"/>
      <w:marTop w:val="0"/>
      <w:marBottom w:val="0"/>
      <w:divBdr>
        <w:top w:val="none" w:sz="0" w:space="0" w:color="auto"/>
        <w:left w:val="none" w:sz="0" w:space="0" w:color="auto"/>
        <w:bottom w:val="none" w:sz="0" w:space="0" w:color="auto"/>
        <w:right w:val="none" w:sz="0" w:space="0" w:color="auto"/>
      </w:divBdr>
      <w:divsChild>
        <w:div w:id="1925913259">
          <w:marLeft w:val="0"/>
          <w:marRight w:val="0"/>
          <w:marTop w:val="480"/>
          <w:marBottom w:val="480"/>
          <w:divBdr>
            <w:top w:val="none" w:sz="0" w:space="0" w:color="auto"/>
            <w:left w:val="none" w:sz="0" w:space="0" w:color="auto"/>
            <w:bottom w:val="none" w:sz="0" w:space="0" w:color="auto"/>
            <w:right w:val="none" w:sz="0" w:space="0" w:color="auto"/>
          </w:divBdr>
        </w:div>
      </w:divsChild>
    </w:div>
    <w:div w:id="160704569">
      <w:bodyDiv w:val="1"/>
      <w:marLeft w:val="0"/>
      <w:marRight w:val="0"/>
      <w:marTop w:val="0"/>
      <w:marBottom w:val="0"/>
      <w:divBdr>
        <w:top w:val="none" w:sz="0" w:space="0" w:color="auto"/>
        <w:left w:val="none" w:sz="0" w:space="0" w:color="auto"/>
        <w:bottom w:val="none" w:sz="0" w:space="0" w:color="auto"/>
        <w:right w:val="none" w:sz="0" w:space="0" w:color="auto"/>
      </w:divBdr>
    </w:div>
    <w:div w:id="642539422">
      <w:bodyDiv w:val="1"/>
      <w:marLeft w:val="0"/>
      <w:marRight w:val="0"/>
      <w:marTop w:val="0"/>
      <w:marBottom w:val="0"/>
      <w:divBdr>
        <w:top w:val="none" w:sz="0" w:space="0" w:color="auto"/>
        <w:left w:val="none" w:sz="0" w:space="0" w:color="auto"/>
        <w:bottom w:val="none" w:sz="0" w:space="0" w:color="auto"/>
        <w:right w:val="none" w:sz="0" w:space="0" w:color="auto"/>
      </w:divBdr>
    </w:div>
    <w:div w:id="680281339">
      <w:bodyDiv w:val="1"/>
      <w:marLeft w:val="0"/>
      <w:marRight w:val="0"/>
      <w:marTop w:val="0"/>
      <w:marBottom w:val="0"/>
      <w:divBdr>
        <w:top w:val="none" w:sz="0" w:space="0" w:color="auto"/>
        <w:left w:val="none" w:sz="0" w:space="0" w:color="auto"/>
        <w:bottom w:val="none" w:sz="0" w:space="0" w:color="auto"/>
        <w:right w:val="none" w:sz="0" w:space="0" w:color="auto"/>
      </w:divBdr>
    </w:div>
    <w:div w:id="1124152728">
      <w:bodyDiv w:val="1"/>
      <w:marLeft w:val="0"/>
      <w:marRight w:val="0"/>
      <w:marTop w:val="0"/>
      <w:marBottom w:val="0"/>
      <w:divBdr>
        <w:top w:val="none" w:sz="0" w:space="0" w:color="auto"/>
        <w:left w:val="none" w:sz="0" w:space="0" w:color="auto"/>
        <w:bottom w:val="none" w:sz="0" w:space="0" w:color="auto"/>
        <w:right w:val="none" w:sz="0" w:space="0" w:color="auto"/>
      </w:divBdr>
      <w:divsChild>
        <w:div w:id="1289776171">
          <w:marLeft w:val="0"/>
          <w:marRight w:val="0"/>
          <w:marTop w:val="0"/>
          <w:marBottom w:val="0"/>
          <w:divBdr>
            <w:top w:val="none" w:sz="0" w:space="0" w:color="auto"/>
            <w:left w:val="none" w:sz="0" w:space="0" w:color="auto"/>
            <w:bottom w:val="none" w:sz="0" w:space="0" w:color="auto"/>
            <w:right w:val="none" w:sz="0" w:space="0" w:color="auto"/>
          </w:divBdr>
        </w:div>
      </w:divsChild>
    </w:div>
    <w:div w:id="1194460083">
      <w:bodyDiv w:val="1"/>
      <w:marLeft w:val="0"/>
      <w:marRight w:val="0"/>
      <w:marTop w:val="0"/>
      <w:marBottom w:val="0"/>
      <w:divBdr>
        <w:top w:val="none" w:sz="0" w:space="0" w:color="auto"/>
        <w:left w:val="none" w:sz="0" w:space="0" w:color="auto"/>
        <w:bottom w:val="none" w:sz="0" w:space="0" w:color="auto"/>
        <w:right w:val="none" w:sz="0" w:space="0" w:color="auto"/>
      </w:divBdr>
    </w:div>
    <w:div w:id="1451587044">
      <w:bodyDiv w:val="1"/>
      <w:marLeft w:val="0"/>
      <w:marRight w:val="0"/>
      <w:marTop w:val="0"/>
      <w:marBottom w:val="0"/>
      <w:divBdr>
        <w:top w:val="none" w:sz="0" w:space="0" w:color="auto"/>
        <w:left w:val="none" w:sz="0" w:space="0" w:color="auto"/>
        <w:bottom w:val="none" w:sz="0" w:space="0" w:color="auto"/>
        <w:right w:val="none" w:sz="0" w:space="0" w:color="auto"/>
      </w:divBdr>
      <w:divsChild>
        <w:div w:id="58689144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si/1998/1833/contents/made" TargetMode="External"/><Relationship Id="rId18" Type="http://schemas.openxmlformats.org/officeDocument/2006/relationships/hyperlink" Target="https://inside.barnardos.org.uk/employee-and-volunteer-support/wellbeing/working-times-regulations-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side.barnardos.org.uk/employee-and-volunteer-support/hybrid-workplace-offer" TargetMode="External"/><Relationship Id="rId17" Type="http://schemas.openxmlformats.org/officeDocument/2006/relationships/hyperlink" Target="https://www.legislation.gov.uk/uksi/2020/365/made" TargetMode="External"/><Relationship Id="rId2" Type="http://schemas.openxmlformats.org/officeDocument/2006/relationships/numbering" Target="numbering.xml"/><Relationship Id="rId16" Type="http://schemas.openxmlformats.org/officeDocument/2006/relationships/hyperlink" Target="https://www.legislation.gov.uk/nisr/2016/49/contents/made" TargetMode="External"/><Relationship Id="rId20" Type="http://schemas.openxmlformats.org/officeDocument/2006/relationships/hyperlink" Target="https://inside.barnardos.org.uk/employee-and-volunteer-support/hybrid-workplace-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employee-and-volunteer-support/taking-time/annual-leave-and-bank-holiday-entitlements" TargetMode="External"/><Relationship Id="rId5" Type="http://schemas.openxmlformats.org/officeDocument/2006/relationships/webSettings" Target="webSettings.xml"/><Relationship Id="rId15" Type="http://schemas.openxmlformats.org/officeDocument/2006/relationships/hyperlink" Target="https://www.legislation.gov.uk/uksi/2007/2079/made" TargetMode="External"/><Relationship Id="rId23" Type="http://schemas.openxmlformats.org/officeDocument/2006/relationships/theme" Target="theme/theme1.xml"/><Relationship Id="rId10" Type="http://schemas.openxmlformats.org/officeDocument/2006/relationships/hyperlink" Target="https://inside.barnardos.org.uk/employee-and-volunteer-support/wellbeing/working-times-regulations-policy" TargetMode="External"/><Relationship Id="rId19" Type="http://schemas.openxmlformats.org/officeDocument/2006/relationships/hyperlink" Target="https://inside.barnardos.org.uk/employee-and-volunteer-support/taking-time/annual-leave-and-bank-holiday-entitlements" TargetMode="External"/><Relationship Id="rId4" Type="http://schemas.openxmlformats.org/officeDocument/2006/relationships/settings" Target="settings.xml"/><Relationship Id="rId9" Type="http://schemas.openxmlformats.org/officeDocument/2006/relationships/hyperlink" Target="https://inside.barnardos.org.uk/employee-and-volunteer-support/hybrid-workplace-offer" TargetMode="External"/><Relationship Id="rId14" Type="http://schemas.openxmlformats.org/officeDocument/2006/relationships/hyperlink" Target="https://www.legislation.gov.uk/uksi/2003/1684/ma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EDC2-2E0C-48E7-841C-AB43A09D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1202</Words>
  <Characters>7809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Sherrett</dc:creator>
  <cp:lastModifiedBy>Tina Walters</cp:lastModifiedBy>
  <cp:revision>10</cp:revision>
  <cp:lastPrinted>2019-02-21T12:31:00Z</cp:lastPrinted>
  <dcterms:created xsi:type="dcterms:W3CDTF">2022-08-16T16:30:00Z</dcterms:created>
  <dcterms:modified xsi:type="dcterms:W3CDTF">2022-08-30T16:50:00Z</dcterms:modified>
</cp:coreProperties>
</file>