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5017"/>
        <w:gridCol w:w="4988"/>
      </w:tblGrid>
      <w:tr w:rsidR="00D16884" w:rsidRPr="00616B90" w14:paraId="53949E24" w14:textId="77777777">
        <w:tc>
          <w:tcPr>
            <w:tcW w:w="5057" w:type="dxa"/>
            <w:vMerge w:val="restart"/>
            <w:vAlign w:val="center"/>
          </w:tcPr>
          <w:p w14:paraId="4935ADFF" w14:textId="77777777" w:rsidR="00D16884" w:rsidRPr="001735FB" w:rsidRDefault="00D16884" w:rsidP="00D16884">
            <w:pPr>
              <w:rPr>
                <w:rFonts w:ascii="Verdana" w:hAnsi="Verdana" w:cs="Verdana"/>
                <w:sz w:val="22"/>
                <w:szCs w:val="22"/>
              </w:rPr>
            </w:pPr>
            <w:r w:rsidRPr="001735FB">
              <w:rPr>
                <w:rFonts w:ascii="Verdana" w:hAnsi="Verdana" w:cs="Verdana"/>
                <w:noProof/>
                <w:color w:val="0000FF"/>
                <w:sz w:val="22"/>
                <w:szCs w:val="22"/>
              </w:rPr>
              <w:drawing>
                <wp:inline distT="0" distB="0" distL="0" distR="0" wp14:anchorId="211A01C6" wp14:editId="7DC2BC54">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tbl>
            <w:tblPr>
              <w:tblW w:w="0" w:type="auto"/>
              <w:tblLook w:val="01E0" w:firstRow="1" w:lastRow="1" w:firstColumn="1" w:lastColumn="1" w:noHBand="0" w:noVBand="0"/>
            </w:tblPr>
            <w:tblGrid>
              <w:gridCol w:w="4772"/>
            </w:tblGrid>
            <w:tr w:rsidR="00D16884" w:rsidRPr="00234D32" w14:paraId="0ECBEAFA" w14:textId="77777777" w:rsidTr="00204AB6">
              <w:tc>
                <w:tcPr>
                  <w:tcW w:w="5058" w:type="dxa"/>
                </w:tcPr>
                <w:p w14:paraId="1F836524" w14:textId="40CE131C" w:rsidR="00D16884" w:rsidRPr="00C3774D" w:rsidRDefault="00A11297" w:rsidP="00D16884">
                  <w:pPr>
                    <w:jc w:val="right"/>
                    <w:rPr>
                      <w:rFonts w:ascii="Verdana" w:hAnsi="Verdana" w:cs="Verdana"/>
                      <w:sz w:val="22"/>
                      <w:szCs w:val="22"/>
                    </w:rPr>
                  </w:pPr>
                  <w:r w:rsidRPr="00C3774D">
                    <w:rPr>
                      <w:rFonts w:ascii="Verdana" w:hAnsi="Verdana" w:cs="Verdana"/>
                      <w:sz w:val="22"/>
                      <w:szCs w:val="22"/>
                    </w:rPr>
                    <w:t xml:space="preserve">Barnardo’s </w:t>
                  </w:r>
                </w:p>
              </w:tc>
            </w:tr>
            <w:tr w:rsidR="00D16884" w:rsidRPr="00234D32" w14:paraId="2D421E9A" w14:textId="77777777" w:rsidTr="00204AB6">
              <w:trPr>
                <w:trHeight w:val="472"/>
              </w:trPr>
              <w:tc>
                <w:tcPr>
                  <w:tcW w:w="5058" w:type="dxa"/>
                </w:tcPr>
                <w:p w14:paraId="40022494" w14:textId="36346826" w:rsidR="00D16884" w:rsidRPr="00C3774D" w:rsidRDefault="00D16884" w:rsidP="00A11297">
                  <w:pPr>
                    <w:jc w:val="left"/>
                    <w:rPr>
                      <w:rFonts w:ascii="Verdana" w:hAnsi="Verdana" w:cs="Verdana"/>
                      <w:sz w:val="22"/>
                      <w:szCs w:val="22"/>
                    </w:rPr>
                  </w:pPr>
                  <w:r w:rsidRPr="00C3774D">
                    <w:rPr>
                      <w:rFonts w:ascii="Verdana" w:hAnsi="Verdana" w:cs="Verdana"/>
                      <w:sz w:val="22"/>
                      <w:szCs w:val="22"/>
                    </w:rPr>
                    <w:t xml:space="preserve">Sickness Absence Policy and Procedure </w:t>
                  </w:r>
                </w:p>
              </w:tc>
            </w:tr>
          </w:tbl>
          <w:p w14:paraId="42F1DC13" w14:textId="5087163F" w:rsidR="00D16884" w:rsidRPr="00616B90" w:rsidRDefault="00D16884" w:rsidP="00D16884">
            <w:pPr>
              <w:jc w:val="right"/>
              <w:rPr>
                <w:rFonts w:ascii="Verdana" w:hAnsi="Verdana" w:cs="Verdana"/>
                <w:sz w:val="32"/>
                <w:szCs w:val="32"/>
              </w:rPr>
            </w:pPr>
          </w:p>
        </w:tc>
      </w:tr>
      <w:tr w:rsidR="00D16884" w:rsidRPr="00616B90" w14:paraId="385043B1" w14:textId="77777777">
        <w:trPr>
          <w:trHeight w:val="472"/>
        </w:trPr>
        <w:tc>
          <w:tcPr>
            <w:tcW w:w="5057" w:type="dxa"/>
            <w:vMerge/>
          </w:tcPr>
          <w:p w14:paraId="0783B1BC" w14:textId="77777777" w:rsidR="00D16884" w:rsidRPr="001735FB" w:rsidRDefault="00D16884" w:rsidP="00D16884">
            <w:pPr>
              <w:rPr>
                <w:rFonts w:ascii="Verdana" w:hAnsi="Verdana" w:cs="Verdana"/>
                <w:sz w:val="22"/>
                <w:szCs w:val="22"/>
              </w:rPr>
            </w:pPr>
          </w:p>
        </w:tc>
        <w:tc>
          <w:tcPr>
            <w:tcW w:w="5058" w:type="dxa"/>
          </w:tcPr>
          <w:tbl>
            <w:tblPr>
              <w:tblW w:w="0" w:type="auto"/>
              <w:tblLook w:val="01E0" w:firstRow="1" w:lastRow="1" w:firstColumn="1" w:lastColumn="1" w:noHBand="0" w:noVBand="0"/>
            </w:tblPr>
            <w:tblGrid>
              <w:gridCol w:w="4772"/>
            </w:tblGrid>
            <w:tr w:rsidR="00D16884" w:rsidRPr="00234D32" w14:paraId="7E69DBFF" w14:textId="77777777" w:rsidTr="00204AB6">
              <w:tc>
                <w:tcPr>
                  <w:tcW w:w="5058" w:type="dxa"/>
                </w:tcPr>
                <w:p w14:paraId="66B665BC" w14:textId="265442B9" w:rsidR="00D16884" w:rsidRPr="00234D32" w:rsidRDefault="00D16884" w:rsidP="00D16884">
                  <w:pPr>
                    <w:jc w:val="right"/>
                    <w:rPr>
                      <w:rFonts w:ascii="Verdana" w:hAnsi="Verdana" w:cs="Verdana"/>
                    </w:rPr>
                  </w:pPr>
                </w:p>
              </w:tc>
            </w:tr>
            <w:tr w:rsidR="00D16884" w:rsidRPr="00234D32" w14:paraId="647AB0B5" w14:textId="77777777" w:rsidTr="00204AB6">
              <w:trPr>
                <w:trHeight w:val="472"/>
              </w:trPr>
              <w:tc>
                <w:tcPr>
                  <w:tcW w:w="5058" w:type="dxa"/>
                </w:tcPr>
                <w:p w14:paraId="3E29CBC2" w14:textId="09908B40" w:rsidR="00D16884" w:rsidRPr="00234D32" w:rsidRDefault="00D16884" w:rsidP="00D16884">
                  <w:pPr>
                    <w:jc w:val="right"/>
                    <w:rPr>
                      <w:rFonts w:ascii="Verdana" w:hAnsi="Verdana" w:cs="Verdana"/>
                    </w:rPr>
                  </w:pPr>
                </w:p>
              </w:tc>
            </w:tr>
          </w:tbl>
          <w:p w14:paraId="624626ED" w14:textId="5C9CD5CE" w:rsidR="00D16884" w:rsidRPr="00616B90" w:rsidRDefault="00D16884" w:rsidP="00D16884">
            <w:pPr>
              <w:jc w:val="right"/>
              <w:rPr>
                <w:rFonts w:ascii="Verdana" w:hAnsi="Verdana" w:cs="Verdana"/>
                <w:sz w:val="32"/>
                <w:szCs w:val="32"/>
              </w:rPr>
            </w:pPr>
          </w:p>
        </w:tc>
      </w:tr>
      <w:tr w:rsidR="007F35D2" w:rsidRPr="001735FB" w14:paraId="1E60E7B8" w14:textId="77777777">
        <w:trPr>
          <w:trHeight w:val="471"/>
        </w:trPr>
        <w:tc>
          <w:tcPr>
            <w:tcW w:w="5057" w:type="dxa"/>
            <w:vMerge/>
          </w:tcPr>
          <w:p w14:paraId="7A419EDC" w14:textId="77777777" w:rsidR="007F35D2" w:rsidRPr="001735FB" w:rsidRDefault="007F35D2" w:rsidP="00E26925">
            <w:pPr>
              <w:rPr>
                <w:rFonts w:ascii="Verdana" w:hAnsi="Verdana" w:cs="Verdana"/>
                <w:sz w:val="22"/>
                <w:szCs w:val="22"/>
              </w:rPr>
            </w:pPr>
          </w:p>
        </w:tc>
        <w:tc>
          <w:tcPr>
            <w:tcW w:w="5058" w:type="dxa"/>
          </w:tcPr>
          <w:p w14:paraId="42785BA7" w14:textId="77777777" w:rsidR="007F35D2" w:rsidRPr="001735FB" w:rsidRDefault="007F35D2" w:rsidP="00425F32">
            <w:pPr>
              <w:jc w:val="center"/>
              <w:rPr>
                <w:rFonts w:ascii="Verdana" w:hAnsi="Verdana" w:cs="Verdana"/>
                <w:sz w:val="22"/>
                <w:szCs w:val="22"/>
              </w:rPr>
            </w:pPr>
            <w:r w:rsidRPr="001735FB">
              <w:rPr>
                <w:rFonts w:ascii="Verdana" w:hAnsi="Verdana" w:cs="Verdana"/>
                <w:sz w:val="22"/>
                <w:szCs w:val="22"/>
              </w:rPr>
              <w:t xml:space="preserve"> </w:t>
            </w:r>
          </w:p>
        </w:tc>
      </w:tr>
    </w:tbl>
    <w:p w14:paraId="06A62D5A" w14:textId="77777777" w:rsidR="00560B70" w:rsidRPr="001735FB" w:rsidRDefault="00560B70" w:rsidP="00425F32">
      <w:pPr>
        <w:pBdr>
          <w:bottom w:val="single" w:sz="12" w:space="1" w:color="auto"/>
        </w:pBdr>
        <w:rPr>
          <w:rFonts w:ascii="Verdana" w:hAnsi="Verdana" w:cs="Verdana"/>
          <w:sz w:val="22"/>
          <w:szCs w:val="22"/>
          <w:lang w:eastAsia="en-US"/>
        </w:rPr>
      </w:pPr>
      <w:bookmarkStart w:id="0" w:name="_Toc169965902"/>
      <w:bookmarkStart w:id="1" w:name="_Toc169965985"/>
    </w:p>
    <w:p w14:paraId="30268F51" w14:textId="3C514B6D" w:rsidR="007F35D2" w:rsidRPr="001735FB" w:rsidRDefault="007F35D2" w:rsidP="00425F32">
      <w:pPr>
        <w:pBdr>
          <w:bottom w:val="single" w:sz="12" w:space="1" w:color="auto"/>
        </w:pBdr>
        <w:rPr>
          <w:rFonts w:ascii="Verdana" w:hAnsi="Verdana" w:cs="Verdana"/>
          <w:sz w:val="22"/>
          <w:szCs w:val="22"/>
          <w:lang w:eastAsia="en-US"/>
        </w:rPr>
      </w:pPr>
      <w:r w:rsidRPr="001735FB">
        <w:rPr>
          <w:rFonts w:ascii="Verdana" w:hAnsi="Verdana" w:cs="Verdana"/>
          <w:sz w:val="22"/>
          <w:szCs w:val="22"/>
          <w:lang w:eastAsia="en-US"/>
        </w:rPr>
        <w:t xml:space="preserve">Date: </w:t>
      </w:r>
      <w:r w:rsidR="00845B76" w:rsidRPr="001735FB">
        <w:rPr>
          <w:rFonts w:ascii="Verdana" w:hAnsi="Verdana" w:cs="Verdana"/>
          <w:sz w:val="22"/>
          <w:szCs w:val="22"/>
          <w:lang w:eastAsia="en-US"/>
        </w:rPr>
        <w:tab/>
      </w:r>
      <w:r w:rsidR="00845B76" w:rsidRPr="001735FB">
        <w:rPr>
          <w:rFonts w:ascii="Verdana" w:hAnsi="Verdana" w:cs="Verdana"/>
          <w:sz w:val="22"/>
          <w:szCs w:val="22"/>
          <w:lang w:eastAsia="en-US"/>
        </w:rPr>
        <w:tab/>
      </w:r>
      <w:r w:rsidR="00845B76" w:rsidRPr="001735FB">
        <w:rPr>
          <w:rFonts w:ascii="Verdana" w:hAnsi="Verdana" w:cs="Verdana"/>
          <w:sz w:val="22"/>
          <w:szCs w:val="22"/>
          <w:lang w:eastAsia="en-US"/>
        </w:rPr>
        <w:tab/>
      </w:r>
      <w:r w:rsidR="0055200C" w:rsidRPr="001735FB">
        <w:rPr>
          <w:rFonts w:ascii="Verdana" w:hAnsi="Verdana" w:cs="Verdana"/>
          <w:sz w:val="22"/>
          <w:szCs w:val="22"/>
          <w:lang w:eastAsia="en-US"/>
        </w:rPr>
        <w:tab/>
      </w:r>
      <w:r w:rsidR="00D05446">
        <w:rPr>
          <w:rFonts w:ascii="Verdana" w:hAnsi="Verdana" w:cs="Verdana"/>
          <w:sz w:val="22"/>
          <w:szCs w:val="22"/>
          <w:lang w:eastAsia="en-US"/>
        </w:rPr>
        <w:t>2 August 2022</w:t>
      </w:r>
      <w:r w:rsidRPr="001735FB">
        <w:rPr>
          <w:rFonts w:ascii="Verdana" w:hAnsi="Verdana" w:cs="Verdana"/>
          <w:sz w:val="22"/>
          <w:szCs w:val="22"/>
          <w:lang w:eastAsia="en-US"/>
        </w:rPr>
        <w:tab/>
      </w:r>
      <w:r w:rsidRPr="001735FB">
        <w:rPr>
          <w:rFonts w:ascii="Verdana" w:hAnsi="Verdana" w:cs="Verdana"/>
          <w:sz w:val="22"/>
          <w:szCs w:val="22"/>
          <w:lang w:eastAsia="en-US"/>
        </w:rPr>
        <w:tab/>
      </w:r>
    </w:p>
    <w:p w14:paraId="5254E40D" w14:textId="6BDB0409" w:rsidR="007F35D2" w:rsidRPr="001735FB" w:rsidRDefault="007F35D2" w:rsidP="00425F32">
      <w:pPr>
        <w:pBdr>
          <w:bottom w:val="single" w:sz="12" w:space="1" w:color="auto"/>
        </w:pBdr>
        <w:rPr>
          <w:rFonts w:ascii="Verdana" w:hAnsi="Verdana" w:cs="Verdana"/>
          <w:sz w:val="22"/>
          <w:szCs w:val="22"/>
          <w:lang w:eastAsia="en-US"/>
        </w:rPr>
      </w:pPr>
      <w:r w:rsidRPr="001735FB">
        <w:rPr>
          <w:rFonts w:ascii="Verdana" w:hAnsi="Verdana" w:cs="Verdana"/>
          <w:sz w:val="22"/>
          <w:szCs w:val="22"/>
          <w:lang w:eastAsia="en-US"/>
        </w:rPr>
        <w:t>Review Date:</w:t>
      </w:r>
      <w:r w:rsidR="00845B76" w:rsidRPr="001735FB">
        <w:rPr>
          <w:rFonts w:ascii="Verdana" w:hAnsi="Verdana" w:cs="Verdana"/>
          <w:sz w:val="22"/>
          <w:szCs w:val="22"/>
          <w:lang w:eastAsia="en-US"/>
        </w:rPr>
        <w:tab/>
      </w:r>
      <w:r w:rsidR="00845B76" w:rsidRPr="001735FB">
        <w:rPr>
          <w:rFonts w:ascii="Verdana" w:hAnsi="Verdana" w:cs="Verdana"/>
          <w:sz w:val="22"/>
          <w:szCs w:val="22"/>
          <w:lang w:eastAsia="en-US"/>
        </w:rPr>
        <w:tab/>
      </w:r>
      <w:r w:rsidR="001E52AD">
        <w:rPr>
          <w:rFonts w:ascii="Verdana" w:hAnsi="Verdana" w:cs="Verdana"/>
          <w:sz w:val="22"/>
          <w:szCs w:val="22"/>
          <w:lang w:eastAsia="en-US"/>
        </w:rPr>
        <w:t xml:space="preserve">31 </w:t>
      </w:r>
      <w:r w:rsidR="009672B5">
        <w:rPr>
          <w:rFonts w:ascii="Verdana" w:hAnsi="Verdana" w:cs="Verdana"/>
          <w:sz w:val="22"/>
          <w:szCs w:val="22"/>
          <w:lang w:eastAsia="en-US"/>
        </w:rPr>
        <w:t xml:space="preserve">October </w:t>
      </w:r>
      <w:r w:rsidR="001E52AD">
        <w:rPr>
          <w:rFonts w:ascii="Verdana" w:hAnsi="Verdana" w:cs="Verdana"/>
          <w:sz w:val="22"/>
          <w:szCs w:val="22"/>
          <w:lang w:eastAsia="en-US"/>
        </w:rPr>
        <w:t>202</w:t>
      </w:r>
      <w:r w:rsidR="009672B5">
        <w:rPr>
          <w:rFonts w:ascii="Verdana" w:hAnsi="Verdana" w:cs="Verdana"/>
          <w:sz w:val="22"/>
          <w:szCs w:val="22"/>
          <w:lang w:eastAsia="en-US"/>
        </w:rPr>
        <w:t>4</w:t>
      </w:r>
    </w:p>
    <w:p w14:paraId="1DBDA775" w14:textId="47F5AFC6" w:rsidR="007F35D2" w:rsidRPr="001735FB" w:rsidRDefault="007F35D2" w:rsidP="00425F32">
      <w:pPr>
        <w:pBdr>
          <w:bottom w:val="single" w:sz="12" w:space="1" w:color="auto"/>
        </w:pBdr>
        <w:rPr>
          <w:rFonts w:ascii="Verdana" w:hAnsi="Verdana" w:cs="Verdana"/>
          <w:sz w:val="22"/>
          <w:szCs w:val="22"/>
          <w:lang w:eastAsia="en-US"/>
        </w:rPr>
      </w:pPr>
      <w:r w:rsidRPr="001735FB">
        <w:rPr>
          <w:rFonts w:ascii="Verdana" w:hAnsi="Verdana" w:cs="Verdana"/>
          <w:sz w:val="22"/>
          <w:szCs w:val="22"/>
          <w:lang w:eastAsia="en-US"/>
        </w:rPr>
        <w:t>Policy Owner:</w:t>
      </w:r>
      <w:r w:rsidR="00845B76" w:rsidRPr="001735FB">
        <w:rPr>
          <w:rFonts w:ascii="Verdana" w:hAnsi="Verdana" w:cs="Verdana"/>
          <w:sz w:val="22"/>
          <w:szCs w:val="22"/>
          <w:lang w:eastAsia="en-US"/>
        </w:rPr>
        <w:tab/>
      </w:r>
      <w:r w:rsidR="00845B76" w:rsidRPr="001735FB">
        <w:rPr>
          <w:rFonts w:ascii="Verdana" w:hAnsi="Verdana" w:cs="Verdana"/>
          <w:sz w:val="22"/>
          <w:szCs w:val="22"/>
          <w:lang w:eastAsia="en-US"/>
        </w:rPr>
        <w:tab/>
      </w:r>
      <w:r w:rsidR="00076736">
        <w:rPr>
          <w:rFonts w:ascii="Verdana" w:hAnsi="Verdana" w:cs="Verdana"/>
          <w:sz w:val="22"/>
          <w:szCs w:val="22"/>
          <w:lang w:eastAsia="en-US"/>
        </w:rPr>
        <w:t>People Strategy &amp; Projects Team</w:t>
      </w:r>
      <w:r w:rsidRPr="001735FB">
        <w:rPr>
          <w:rFonts w:ascii="Verdana" w:hAnsi="Verdana" w:cs="Verdana"/>
          <w:sz w:val="22"/>
          <w:szCs w:val="22"/>
          <w:lang w:eastAsia="en-US"/>
        </w:rPr>
        <w:tab/>
      </w:r>
    </w:p>
    <w:p w14:paraId="0FCDFA17" w14:textId="77777777" w:rsidR="007F35D2" w:rsidRPr="001735FB" w:rsidRDefault="00560B70" w:rsidP="00233928">
      <w:pPr>
        <w:pBdr>
          <w:bottom w:val="single" w:sz="12" w:space="1" w:color="auto"/>
        </w:pBdr>
        <w:rPr>
          <w:rFonts w:ascii="Verdana" w:hAnsi="Verdana" w:cs="Verdana"/>
          <w:sz w:val="22"/>
          <w:szCs w:val="22"/>
          <w:lang w:eastAsia="en-US"/>
        </w:rPr>
      </w:pPr>
      <w:r w:rsidRPr="001735FB">
        <w:rPr>
          <w:rFonts w:ascii="Verdana" w:hAnsi="Verdana" w:cs="Verdana"/>
          <w:sz w:val="22"/>
          <w:szCs w:val="22"/>
          <w:lang w:eastAsia="en-US"/>
        </w:rPr>
        <w:t>Distribution:</w:t>
      </w:r>
      <w:r w:rsidR="00845B76" w:rsidRPr="001735FB">
        <w:rPr>
          <w:rFonts w:ascii="Verdana" w:hAnsi="Verdana" w:cs="Verdana"/>
          <w:sz w:val="22"/>
          <w:szCs w:val="22"/>
          <w:lang w:eastAsia="en-US"/>
        </w:rPr>
        <w:tab/>
      </w:r>
      <w:r w:rsidR="00845B76" w:rsidRPr="001735FB">
        <w:rPr>
          <w:rFonts w:ascii="Verdana" w:hAnsi="Verdana" w:cs="Verdana"/>
          <w:sz w:val="22"/>
          <w:szCs w:val="22"/>
          <w:lang w:eastAsia="en-US"/>
        </w:rPr>
        <w:tab/>
      </w:r>
      <w:r w:rsidR="0055200C" w:rsidRPr="001735FB">
        <w:rPr>
          <w:rFonts w:ascii="Verdana" w:hAnsi="Verdana" w:cs="Verdana"/>
          <w:sz w:val="22"/>
          <w:szCs w:val="22"/>
          <w:lang w:eastAsia="en-US"/>
        </w:rPr>
        <w:tab/>
      </w:r>
      <w:r w:rsidR="00845B76" w:rsidRPr="001735FB">
        <w:rPr>
          <w:rFonts w:ascii="Verdana" w:hAnsi="Verdana" w:cs="Verdana"/>
          <w:sz w:val="22"/>
          <w:szCs w:val="22"/>
          <w:lang w:eastAsia="en-US"/>
        </w:rPr>
        <w:t>Not confidential</w:t>
      </w:r>
      <w:r w:rsidR="00D81111" w:rsidRPr="001735FB">
        <w:rPr>
          <w:rFonts w:ascii="Verdana" w:hAnsi="Verdana" w:cs="Verdana"/>
          <w:sz w:val="22"/>
          <w:szCs w:val="22"/>
          <w:lang w:eastAsia="en-US"/>
        </w:rPr>
        <w:t xml:space="preserve"> </w:t>
      </w:r>
      <w:r w:rsidR="003D5C14" w:rsidRPr="001735FB">
        <w:rPr>
          <w:rFonts w:ascii="Verdana" w:hAnsi="Verdana" w:cs="Verdana"/>
          <w:sz w:val="22"/>
          <w:szCs w:val="22"/>
          <w:lang w:eastAsia="en-US"/>
        </w:rPr>
        <w:t xml:space="preserve">- </w:t>
      </w:r>
      <w:r w:rsidR="00845B76" w:rsidRPr="001735FB">
        <w:rPr>
          <w:rFonts w:ascii="Verdana" w:hAnsi="Verdana" w:cs="Verdana"/>
          <w:sz w:val="22"/>
          <w:szCs w:val="22"/>
          <w:lang w:eastAsia="en-US"/>
        </w:rPr>
        <w:t>internal</w:t>
      </w:r>
      <w:r w:rsidRPr="001735FB">
        <w:rPr>
          <w:rFonts w:ascii="Verdana" w:hAnsi="Verdana" w:cs="Verdana"/>
          <w:sz w:val="22"/>
          <w:szCs w:val="22"/>
          <w:lang w:eastAsia="en-US"/>
        </w:rPr>
        <w:tab/>
      </w:r>
      <w:r w:rsidRPr="001735FB">
        <w:rPr>
          <w:rFonts w:ascii="Verdana" w:hAnsi="Verdana" w:cs="Verdana"/>
          <w:sz w:val="22"/>
          <w:szCs w:val="22"/>
          <w:lang w:eastAsia="en-US"/>
        </w:rPr>
        <w:tab/>
      </w:r>
    </w:p>
    <w:p w14:paraId="6BFFFBE0" w14:textId="77777777" w:rsidR="00560B70" w:rsidRPr="001735FB" w:rsidRDefault="00560B70" w:rsidP="00E64EAC">
      <w:pPr>
        <w:pStyle w:val="Heading4"/>
        <w:rPr>
          <w:rStyle w:val="IntenseEmphasis"/>
          <w:b/>
          <w:i w:val="0"/>
          <w:color w:val="000000" w:themeColor="text1"/>
          <w:sz w:val="22"/>
          <w:szCs w:val="22"/>
        </w:rPr>
      </w:pPr>
      <w:r w:rsidRPr="001735FB">
        <w:rPr>
          <w:rStyle w:val="IntenseEmphasis"/>
          <w:b/>
          <w:i w:val="0"/>
          <w:color w:val="000000" w:themeColor="text1"/>
          <w:sz w:val="22"/>
          <w:szCs w:val="22"/>
        </w:rPr>
        <w:t>Purpose</w:t>
      </w:r>
    </w:p>
    <w:p w14:paraId="566EB111" w14:textId="77777777" w:rsidR="00845B76" w:rsidRPr="001735FB" w:rsidRDefault="00845B76" w:rsidP="00845B76">
      <w:p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Barnardo's has designed this non-contractual policy and procedure to ensure that:</w:t>
      </w:r>
    </w:p>
    <w:p w14:paraId="6F8BBA35" w14:textId="77777777" w:rsidR="00845B76" w:rsidRPr="001735FB" w:rsidRDefault="00845B76" w:rsidP="00BB1A5A">
      <w:pPr>
        <w:pStyle w:val="ListParagraph"/>
        <w:numPr>
          <w:ilvl w:val="0"/>
          <w:numId w:val="9"/>
        </w:num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Employees are aware that Barnardo's takes its responsibility for the health, safety and welfare of staff seriously and aims to achieve equitable and fair treatment for all.</w:t>
      </w:r>
      <w:r w:rsidR="00D5518F">
        <w:rPr>
          <w:rFonts w:ascii="Verdana" w:hAnsi="Verdana" w:cs="Times New Roman"/>
          <w:sz w:val="22"/>
          <w:szCs w:val="22"/>
        </w:rPr>
        <w:t xml:space="preserve"> Employees are expected to maintain a satisfactory record of attendance.</w:t>
      </w:r>
    </w:p>
    <w:p w14:paraId="5E7365B5" w14:textId="77777777" w:rsidR="00845B76" w:rsidRPr="001735FB" w:rsidRDefault="00D5518F" w:rsidP="00BB1A5A">
      <w:pPr>
        <w:pStyle w:val="ListParagraph"/>
        <w:numPr>
          <w:ilvl w:val="0"/>
          <w:numId w:val="9"/>
        </w:numPr>
        <w:spacing w:before="100" w:beforeAutospacing="1" w:after="100" w:afterAutospacing="1" w:line="240" w:lineRule="auto"/>
        <w:jc w:val="left"/>
        <w:rPr>
          <w:rFonts w:ascii="Verdana" w:hAnsi="Verdana" w:cs="Times New Roman"/>
          <w:sz w:val="22"/>
          <w:szCs w:val="22"/>
        </w:rPr>
      </w:pPr>
      <w:r>
        <w:rPr>
          <w:rFonts w:ascii="Verdana" w:hAnsi="Verdana" w:cs="Times New Roman"/>
          <w:sz w:val="22"/>
          <w:szCs w:val="22"/>
        </w:rPr>
        <w:t>Any, s</w:t>
      </w:r>
      <w:r w:rsidR="00845B76" w:rsidRPr="001735FB">
        <w:rPr>
          <w:rFonts w:ascii="Verdana" w:hAnsi="Verdana" w:cs="Times New Roman"/>
          <w:sz w:val="22"/>
          <w:szCs w:val="22"/>
        </w:rPr>
        <w:t xml:space="preserve">ickness absence </w:t>
      </w:r>
      <w:r>
        <w:rPr>
          <w:rFonts w:ascii="Verdana" w:hAnsi="Verdana" w:cs="Times New Roman"/>
          <w:sz w:val="22"/>
          <w:szCs w:val="22"/>
        </w:rPr>
        <w:t>will be</w:t>
      </w:r>
      <w:r w:rsidR="00845B76" w:rsidRPr="001735FB">
        <w:rPr>
          <w:rFonts w:ascii="Verdana" w:hAnsi="Verdana" w:cs="Times New Roman"/>
          <w:sz w:val="22"/>
          <w:szCs w:val="22"/>
        </w:rPr>
        <w:t xml:space="preserve"> handled fairly, reasonably and sensitively, taking account of the needs of both the business and employee.</w:t>
      </w:r>
    </w:p>
    <w:p w14:paraId="0C11C4AC" w14:textId="77777777" w:rsidR="00845B76" w:rsidRPr="001735FB" w:rsidRDefault="00845B76" w:rsidP="00BB1A5A">
      <w:pPr>
        <w:pStyle w:val="ListParagraph"/>
        <w:numPr>
          <w:ilvl w:val="0"/>
          <w:numId w:val="9"/>
        </w:num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Persistent short-term and long-term sickness absence is positively managed with a degree of consistency and to facilitate a return to work as early and wherever possible.  However, if this is not possible, or if intermittent absence levels remain unacceptable, it may be necessary for the employment relationship to end.</w:t>
      </w:r>
    </w:p>
    <w:p w14:paraId="20B2ADE3" w14:textId="77777777" w:rsidR="00845B76" w:rsidRPr="001735FB" w:rsidRDefault="00845B76" w:rsidP="00BB1A5A">
      <w:pPr>
        <w:pStyle w:val="ListParagraph"/>
        <w:numPr>
          <w:ilvl w:val="0"/>
          <w:numId w:val="9"/>
        </w:num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Employees are aware that effective communication by line managers plays a key part in sickness absence and can help to address issues before they escalate to problems.</w:t>
      </w:r>
    </w:p>
    <w:p w14:paraId="01C5A82C" w14:textId="77777777" w:rsidR="00845B76" w:rsidRPr="001735FB" w:rsidRDefault="00845B76" w:rsidP="00BB1A5A">
      <w:pPr>
        <w:pStyle w:val="ListParagraph"/>
        <w:numPr>
          <w:ilvl w:val="0"/>
          <w:numId w:val="9"/>
        </w:num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 xml:space="preserve">Employees understand their individual responsibilities when absent due to sickness and are aware of the eligibility criteria and possible discretionary payments under </w:t>
      </w:r>
      <w:hyperlink r:id="rId9" w:history="1">
        <w:r w:rsidRPr="001735FB">
          <w:rPr>
            <w:rFonts w:ascii="Verdana" w:hAnsi="Verdana" w:cs="Times New Roman"/>
            <w:sz w:val="22"/>
            <w:szCs w:val="22"/>
          </w:rPr>
          <w:t>Barnardo's Sickness Payment Schemes</w:t>
        </w:r>
      </w:hyperlink>
      <w:r w:rsidRPr="001735FB">
        <w:rPr>
          <w:rFonts w:ascii="Verdana" w:hAnsi="Verdana" w:cs="Times New Roman"/>
          <w:sz w:val="22"/>
          <w:szCs w:val="22"/>
        </w:rPr>
        <w:t>.  (Any payments are made to employees to assist their recovery from ill-health and their return to work)</w:t>
      </w:r>
      <w:r w:rsidR="00271405" w:rsidRPr="001735FB">
        <w:rPr>
          <w:rFonts w:ascii="Verdana" w:hAnsi="Verdana" w:cs="Times New Roman"/>
          <w:sz w:val="22"/>
          <w:szCs w:val="22"/>
        </w:rPr>
        <w:t>.</w:t>
      </w:r>
    </w:p>
    <w:p w14:paraId="16D15722" w14:textId="77777777" w:rsidR="00845B76" w:rsidRPr="001735FB" w:rsidRDefault="00845B76" w:rsidP="00BB1A5A">
      <w:pPr>
        <w:pStyle w:val="ListParagraph"/>
        <w:numPr>
          <w:ilvl w:val="0"/>
          <w:numId w:val="9"/>
        </w:num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Employees understand the implications of reaching a short-term absence trigger point, the purpose of informal and formal reviews and cautions, and their right of appeal at each formal stage of the process.</w:t>
      </w:r>
    </w:p>
    <w:p w14:paraId="78088134" w14:textId="77777777" w:rsidR="00FF59BF" w:rsidRPr="00FF59BF" w:rsidRDefault="00845B76" w:rsidP="00BB1A5A">
      <w:pPr>
        <w:pStyle w:val="ListParagraph"/>
        <w:numPr>
          <w:ilvl w:val="0"/>
          <w:numId w:val="9"/>
        </w:numPr>
        <w:spacing w:before="0" w:beforeAutospacing="1" w:after="200" w:afterAutospacing="1" w:line="276" w:lineRule="auto"/>
        <w:jc w:val="left"/>
        <w:rPr>
          <w:rFonts w:ascii="Verdana" w:eastAsia="Calibri" w:hAnsi="Verdana"/>
          <w:sz w:val="22"/>
          <w:szCs w:val="22"/>
          <w:lang w:eastAsia="en-US"/>
        </w:rPr>
      </w:pPr>
      <w:r w:rsidRPr="00FF59BF">
        <w:rPr>
          <w:rFonts w:ascii="Verdana" w:hAnsi="Verdana" w:cs="Times New Roman"/>
          <w:sz w:val="22"/>
          <w:szCs w:val="22"/>
        </w:rPr>
        <w:t xml:space="preserve">Employees are aware of the provisions during sickness absence for </w:t>
      </w:r>
      <w:hyperlink r:id="rId10" w:history="1">
        <w:r w:rsidRPr="00FF59BF">
          <w:rPr>
            <w:rFonts w:ascii="Verdana" w:hAnsi="Verdana" w:cs="Times New Roman"/>
            <w:sz w:val="22"/>
            <w:szCs w:val="22"/>
          </w:rPr>
          <w:t>accruing and taking annual leave</w:t>
        </w:r>
      </w:hyperlink>
      <w:r w:rsidRPr="00FF59BF">
        <w:rPr>
          <w:rFonts w:ascii="Verdana" w:hAnsi="Verdana" w:cs="Times New Roman"/>
          <w:sz w:val="22"/>
          <w:szCs w:val="22"/>
        </w:rPr>
        <w:t xml:space="preserve">, in the event of sickness for a pregnancy-related reason in the 4 weeks before an employee's baby is due and </w:t>
      </w:r>
      <w:r w:rsidR="00271405" w:rsidRPr="00FF59BF">
        <w:rPr>
          <w:rFonts w:ascii="Verdana" w:hAnsi="Verdana" w:cs="Times New Roman"/>
          <w:sz w:val="22"/>
          <w:szCs w:val="22"/>
        </w:rPr>
        <w:t xml:space="preserve">regarding </w:t>
      </w:r>
      <w:r w:rsidRPr="00FF59BF">
        <w:rPr>
          <w:rFonts w:ascii="Verdana" w:hAnsi="Verdana" w:cs="Times New Roman"/>
          <w:sz w:val="22"/>
          <w:szCs w:val="22"/>
        </w:rPr>
        <w:t>the impact of sickness absence on pensions.</w:t>
      </w:r>
    </w:p>
    <w:p w14:paraId="79518E2A" w14:textId="77777777" w:rsidR="00560B70" w:rsidRPr="00FF59BF" w:rsidRDefault="00845B76" w:rsidP="00BB1A5A">
      <w:pPr>
        <w:pStyle w:val="ListParagraph"/>
        <w:numPr>
          <w:ilvl w:val="0"/>
          <w:numId w:val="9"/>
        </w:numPr>
        <w:spacing w:before="0" w:beforeAutospacing="1" w:after="200" w:afterAutospacing="1" w:line="276" w:lineRule="auto"/>
        <w:jc w:val="left"/>
        <w:rPr>
          <w:rFonts w:ascii="Verdana" w:eastAsia="Calibri" w:hAnsi="Verdana"/>
          <w:sz w:val="22"/>
          <w:szCs w:val="22"/>
          <w:lang w:eastAsia="en-US"/>
        </w:rPr>
      </w:pPr>
      <w:r w:rsidRPr="00FF59BF">
        <w:rPr>
          <w:rFonts w:ascii="Verdana" w:hAnsi="Verdana" w:cs="Times New Roman"/>
          <w:sz w:val="22"/>
          <w:szCs w:val="22"/>
        </w:rPr>
        <w:t xml:space="preserve">Employees are aware of the </w:t>
      </w:r>
      <w:hyperlink r:id="rId11" w:history="1">
        <w:r w:rsidRPr="00FF59BF">
          <w:rPr>
            <w:rFonts w:ascii="Verdana" w:hAnsi="Verdana" w:cs="Times New Roman"/>
            <w:sz w:val="22"/>
            <w:szCs w:val="22"/>
          </w:rPr>
          <w:t>sources of support</w:t>
        </w:r>
      </w:hyperlink>
      <w:r w:rsidRPr="00FF59BF">
        <w:rPr>
          <w:rFonts w:ascii="Verdana" w:hAnsi="Verdana" w:cs="Times New Roman"/>
          <w:sz w:val="22"/>
          <w:szCs w:val="22"/>
        </w:rPr>
        <w:t xml:space="preserve"> available to them and their entitlement to request to be accompanied at any formal meeting.</w:t>
      </w:r>
      <w:r w:rsidRPr="00FF59BF">
        <w:rPr>
          <w:rFonts w:ascii="Verdana" w:eastAsia="Calibri" w:hAnsi="Verdana"/>
          <w:sz w:val="22"/>
          <w:szCs w:val="22"/>
          <w:lang w:eastAsia="en-US"/>
        </w:rPr>
        <w:t xml:space="preserve"> </w:t>
      </w:r>
    </w:p>
    <w:p w14:paraId="48C7DF36" w14:textId="77777777" w:rsidR="00560B70" w:rsidRPr="001735FB" w:rsidRDefault="00560B70" w:rsidP="00E64EAC">
      <w:pPr>
        <w:pStyle w:val="Heading4"/>
        <w:rPr>
          <w:sz w:val="22"/>
          <w:szCs w:val="22"/>
          <w:lang w:eastAsia="en-US"/>
        </w:rPr>
      </w:pPr>
      <w:r w:rsidRPr="001735FB">
        <w:rPr>
          <w:sz w:val="22"/>
          <w:szCs w:val="22"/>
          <w:lang w:eastAsia="en-US"/>
        </w:rPr>
        <w:t>Scope</w:t>
      </w:r>
    </w:p>
    <w:p w14:paraId="36CB017F" w14:textId="77777777" w:rsidR="00560B70" w:rsidRPr="001735FB" w:rsidRDefault="00845B76" w:rsidP="00560B70">
      <w:pPr>
        <w:spacing w:before="0" w:after="0" w:line="240" w:lineRule="auto"/>
        <w:jc w:val="left"/>
        <w:rPr>
          <w:rFonts w:ascii="Verdana" w:hAnsi="Verdana"/>
          <w:sz w:val="22"/>
          <w:szCs w:val="22"/>
          <w:lang w:eastAsia="en-US"/>
        </w:rPr>
      </w:pPr>
      <w:r w:rsidRPr="001735FB">
        <w:rPr>
          <w:rFonts w:ascii="Verdana" w:hAnsi="Verdana"/>
          <w:sz w:val="22"/>
          <w:szCs w:val="22"/>
          <w:lang w:eastAsia="en-US"/>
        </w:rPr>
        <w:t xml:space="preserve"> </w:t>
      </w:r>
    </w:p>
    <w:p w14:paraId="250527AD" w14:textId="77777777" w:rsidR="00845B76" w:rsidRPr="001735FB" w:rsidRDefault="00845B76" w:rsidP="00845B76">
      <w:pPr>
        <w:pStyle w:val="NormalWeb"/>
        <w:rPr>
          <w:rFonts w:ascii="Verdana" w:hAnsi="Verdana"/>
          <w:color w:val="000000"/>
          <w:sz w:val="22"/>
          <w:szCs w:val="22"/>
          <w:lang w:val="en-US"/>
        </w:rPr>
      </w:pPr>
      <w:r w:rsidRPr="001735FB">
        <w:rPr>
          <w:rFonts w:ascii="Verdana" w:hAnsi="Verdana"/>
          <w:color w:val="000000"/>
          <w:sz w:val="22"/>
          <w:szCs w:val="22"/>
          <w:lang w:val="en-US"/>
        </w:rPr>
        <w:t>The policy and procedure applies to all Barnardo's employees.</w:t>
      </w:r>
    </w:p>
    <w:p w14:paraId="51CFD6B6" w14:textId="77777777" w:rsidR="00845B76" w:rsidRPr="001735FB" w:rsidRDefault="00845B76" w:rsidP="00845B76">
      <w:pPr>
        <w:spacing w:before="0" w:after="0" w:line="240" w:lineRule="auto"/>
        <w:jc w:val="left"/>
        <w:rPr>
          <w:rFonts w:ascii="Verdana" w:hAnsi="Verdana" w:cs="Times New Roman"/>
          <w:sz w:val="22"/>
          <w:szCs w:val="22"/>
          <w:lang w:eastAsia="en-US"/>
        </w:rPr>
      </w:pPr>
      <w:r w:rsidRPr="001735FB">
        <w:rPr>
          <w:rFonts w:ascii="Verdana" w:hAnsi="Verdana" w:cs="Times New Roman"/>
          <w:sz w:val="22"/>
          <w:szCs w:val="22"/>
        </w:rPr>
        <w:lastRenderedPageBreak/>
        <w:t xml:space="preserve">The policy does not apply to </w:t>
      </w:r>
      <w:r w:rsidR="00D5518F">
        <w:rPr>
          <w:rFonts w:ascii="Verdana" w:hAnsi="Verdana" w:cs="Times New Roman"/>
          <w:sz w:val="22"/>
          <w:szCs w:val="22"/>
        </w:rPr>
        <w:t xml:space="preserve">those working solely </w:t>
      </w:r>
      <w:r w:rsidRPr="001735FB">
        <w:rPr>
          <w:rFonts w:ascii="Verdana" w:hAnsi="Verdana" w:cs="Times New Roman"/>
          <w:sz w:val="22"/>
          <w:szCs w:val="22"/>
        </w:rPr>
        <w:t xml:space="preserve">'As and </w:t>
      </w:r>
      <w:r w:rsidR="00551992" w:rsidRPr="001735FB">
        <w:rPr>
          <w:rFonts w:ascii="Verdana" w:hAnsi="Verdana" w:cs="Times New Roman"/>
          <w:sz w:val="22"/>
          <w:szCs w:val="22"/>
        </w:rPr>
        <w:t>W</w:t>
      </w:r>
      <w:r w:rsidRPr="001735FB">
        <w:rPr>
          <w:rFonts w:ascii="Verdana" w:hAnsi="Verdana" w:cs="Times New Roman"/>
          <w:sz w:val="22"/>
          <w:szCs w:val="22"/>
        </w:rPr>
        <w:t>hen'</w:t>
      </w:r>
      <w:r w:rsidR="00D5518F">
        <w:rPr>
          <w:rFonts w:ascii="Verdana" w:hAnsi="Verdana" w:cs="Times New Roman"/>
          <w:sz w:val="22"/>
          <w:szCs w:val="22"/>
        </w:rPr>
        <w:t xml:space="preserve"> and sessional workers</w:t>
      </w:r>
      <w:r w:rsidRPr="001735FB">
        <w:rPr>
          <w:rFonts w:ascii="Verdana" w:hAnsi="Verdana" w:cs="Times New Roman"/>
          <w:sz w:val="22"/>
          <w:szCs w:val="22"/>
        </w:rPr>
        <w:t xml:space="preserve">, agency workers </w:t>
      </w:r>
      <w:r w:rsidR="00473B96">
        <w:rPr>
          <w:rFonts w:ascii="Verdana" w:hAnsi="Verdana" w:cs="Times New Roman"/>
          <w:sz w:val="22"/>
          <w:szCs w:val="22"/>
        </w:rPr>
        <w:t xml:space="preserve">or </w:t>
      </w:r>
      <w:r w:rsidRPr="001735FB">
        <w:rPr>
          <w:rFonts w:ascii="Verdana" w:hAnsi="Verdana" w:cs="Times New Roman"/>
          <w:sz w:val="22"/>
          <w:szCs w:val="22"/>
        </w:rPr>
        <w:t>self-employed contractors</w:t>
      </w:r>
      <w:r w:rsidRPr="001735FB">
        <w:rPr>
          <w:rFonts w:ascii="Verdana" w:hAnsi="Verdana" w:cs="Times New Roman"/>
          <w:sz w:val="22"/>
          <w:szCs w:val="22"/>
          <w:lang w:eastAsia="en-US"/>
        </w:rPr>
        <w:t xml:space="preserve">. </w:t>
      </w:r>
    </w:p>
    <w:p w14:paraId="2D6CED2B" w14:textId="77777777" w:rsidR="00560B70" w:rsidRPr="001735FB" w:rsidRDefault="00845B76" w:rsidP="00E64EAC">
      <w:pPr>
        <w:pStyle w:val="Heading4"/>
        <w:rPr>
          <w:sz w:val="22"/>
          <w:szCs w:val="22"/>
          <w:lang w:eastAsia="en-US"/>
        </w:rPr>
      </w:pPr>
      <w:r w:rsidRPr="001735FB">
        <w:rPr>
          <w:sz w:val="22"/>
          <w:szCs w:val="22"/>
          <w:lang w:eastAsia="en-US"/>
        </w:rPr>
        <w:t>R</w:t>
      </w:r>
      <w:r w:rsidR="00661C30" w:rsidRPr="001735FB">
        <w:rPr>
          <w:sz w:val="22"/>
          <w:szCs w:val="22"/>
          <w:lang w:eastAsia="en-US"/>
        </w:rPr>
        <w:t>oles and</w:t>
      </w:r>
      <w:r w:rsidR="00560B70" w:rsidRPr="001735FB">
        <w:rPr>
          <w:sz w:val="22"/>
          <w:szCs w:val="22"/>
          <w:lang w:eastAsia="en-US"/>
        </w:rPr>
        <w:t xml:space="preserve"> Responsibilities</w:t>
      </w:r>
    </w:p>
    <w:p w14:paraId="46D3576C" w14:textId="77777777" w:rsidR="00845B76" w:rsidRPr="001735FB" w:rsidRDefault="00845B76" w:rsidP="00845B76">
      <w:pPr>
        <w:spacing w:before="100" w:beforeAutospacing="1" w:after="100" w:afterAutospacing="1" w:line="240" w:lineRule="auto"/>
        <w:jc w:val="left"/>
        <w:rPr>
          <w:rFonts w:ascii="Verdana" w:hAnsi="Verdana" w:cs="Times New Roman"/>
          <w:color w:val="000000"/>
          <w:sz w:val="22"/>
          <w:szCs w:val="22"/>
          <w:lang w:val="en-US"/>
        </w:rPr>
      </w:pPr>
      <w:r w:rsidRPr="001735FB">
        <w:rPr>
          <w:rFonts w:ascii="Verdana" w:hAnsi="Verdana" w:cs="Times New Roman"/>
          <w:b/>
          <w:color w:val="000000"/>
          <w:sz w:val="22"/>
          <w:szCs w:val="22"/>
          <w:lang w:val="en-US" w:eastAsia="en-US"/>
        </w:rPr>
        <w:t xml:space="preserve">Line </w:t>
      </w:r>
      <w:r w:rsidRPr="001735FB">
        <w:rPr>
          <w:rFonts w:ascii="Verdana" w:hAnsi="Verdana" w:cs="Times New Roman"/>
          <w:b/>
          <w:bCs/>
          <w:color w:val="000000"/>
          <w:sz w:val="22"/>
          <w:szCs w:val="22"/>
          <w:lang w:val="en-US"/>
        </w:rPr>
        <w:t>Managers</w:t>
      </w:r>
      <w:r w:rsidRPr="001735FB">
        <w:rPr>
          <w:rFonts w:ascii="Verdana" w:hAnsi="Verdana" w:cs="Times New Roman"/>
          <w:color w:val="000000"/>
          <w:sz w:val="22"/>
          <w:szCs w:val="22"/>
          <w:lang w:val="en-US"/>
        </w:rPr>
        <w:t xml:space="preserve"> are responsible for managing the sickness absence of employees in their areas </w:t>
      </w:r>
      <w:r w:rsidR="00CD449F" w:rsidRPr="001735FB">
        <w:rPr>
          <w:rFonts w:ascii="Verdana" w:hAnsi="Verdana" w:cs="Times New Roman"/>
          <w:color w:val="000000"/>
          <w:sz w:val="22"/>
          <w:szCs w:val="22"/>
          <w:lang w:val="en-US"/>
        </w:rPr>
        <w:t xml:space="preserve">of responsibility, and for </w:t>
      </w:r>
      <w:r w:rsidR="00BF303F">
        <w:rPr>
          <w:rFonts w:ascii="Verdana" w:hAnsi="Verdana" w:cs="Times New Roman"/>
          <w:color w:val="000000"/>
          <w:sz w:val="22"/>
          <w:szCs w:val="22"/>
          <w:lang w:val="en-US"/>
        </w:rPr>
        <w:t>ensuring</w:t>
      </w:r>
      <w:r w:rsidRPr="001735FB">
        <w:rPr>
          <w:rFonts w:ascii="Verdana" w:hAnsi="Verdana" w:cs="Times New Roman"/>
          <w:color w:val="000000"/>
          <w:sz w:val="22"/>
          <w:szCs w:val="22"/>
          <w:lang w:val="en-US"/>
        </w:rPr>
        <w:t xml:space="preserve"> that the employees who report to them are treated fairly and consistently and in accordance with Bar</w:t>
      </w:r>
      <w:r w:rsidR="00CD449F" w:rsidRPr="001735FB">
        <w:rPr>
          <w:rFonts w:ascii="Verdana" w:hAnsi="Verdana" w:cs="Times New Roman"/>
          <w:color w:val="000000"/>
          <w:sz w:val="22"/>
          <w:szCs w:val="22"/>
          <w:lang w:val="en-US"/>
        </w:rPr>
        <w:t xml:space="preserve">nardo's policies and procedures. Managers can access sickness absence reports to support them in effectively undertaking their role. </w:t>
      </w:r>
    </w:p>
    <w:p w14:paraId="34CDAB0B" w14:textId="77777777" w:rsidR="00845B76" w:rsidRPr="001735FB" w:rsidRDefault="00845B76" w:rsidP="00845B76">
      <w:p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b/>
          <w:bCs/>
          <w:sz w:val="22"/>
          <w:szCs w:val="22"/>
        </w:rPr>
        <w:t>Employees</w:t>
      </w:r>
      <w:r w:rsidRPr="001735FB">
        <w:rPr>
          <w:rFonts w:ascii="Verdana" w:hAnsi="Verdana" w:cs="Times New Roman"/>
          <w:sz w:val="22"/>
          <w:szCs w:val="22"/>
        </w:rPr>
        <w:t xml:space="preserve"> are responsible for ensuring they understand and comply with the notification and other requirements of the policy and procedure and, in the event of sickness, engaging and participating to the best o</w:t>
      </w:r>
      <w:r w:rsidR="00CD449F" w:rsidRPr="001735FB">
        <w:rPr>
          <w:rFonts w:ascii="Verdana" w:hAnsi="Verdana" w:cs="Times New Roman"/>
          <w:sz w:val="22"/>
          <w:szCs w:val="22"/>
        </w:rPr>
        <w:t>f their ability in the process.</w:t>
      </w:r>
    </w:p>
    <w:p w14:paraId="5127928C" w14:textId="77777777" w:rsidR="00845B76" w:rsidRPr="001735FB" w:rsidRDefault="00845B76" w:rsidP="00845B76">
      <w:pPr>
        <w:spacing w:before="0" w:after="0" w:line="240" w:lineRule="auto"/>
        <w:jc w:val="left"/>
        <w:rPr>
          <w:rFonts w:ascii="Verdana" w:hAnsi="Verdana" w:cs="Times New Roman"/>
          <w:sz w:val="22"/>
          <w:szCs w:val="22"/>
          <w:lang w:eastAsia="en-US"/>
        </w:rPr>
      </w:pPr>
      <w:r w:rsidRPr="001735FB">
        <w:rPr>
          <w:rFonts w:ascii="Verdana" w:hAnsi="Verdana" w:cs="Times New Roman"/>
          <w:b/>
          <w:bCs/>
          <w:sz w:val="22"/>
          <w:szCs w:val="22"/>
        </w:rPr>
        <w:t xml:space="preserve">Local People Teams </w:t>
      </w:r>
      <w:r w:rsidRPr="001735FB">
        <w:rPr>
          <w:rFonts w:ascii="Verdana" w:hAnsi="Verdana" w:cs="Times New Roman"/>
          <w:sz w:val="22"/>
          <w:szCs w:val="22"/>
        </w:rPr>
        <w:t>are responsible for working with managers to identify and manage cases of sickness absence, and for supporting managers and employees to understand and implement Barnardo's policies and procedures</w:t>
      </w:r>
      <w:r w:rsidRPr="001735FB">
        <w:rPr>
          <w:rFonts w:ascii="Verdana" w:hAnsi="Verdana" w:cs="Times New Roman"/>
          <w:sz w:val="22"/>
          <w:szCs w:val="22"/>
          <w:lang w:eastAsia="en-US"/>
        </w:rPr>
        <w:t>.</w:t>
      </w:r>
    </w:p>
    <w:p w14:paraId="762DDE9F" w14:textId="77777777" w:rsidR="00CD449F" w:rsidRPr="001735FB" w:rsidRDefault="00CD449F" w:rsidP="00845B76">
      <w:pPr>
        <w:spacing w:before="0" w:after="0" w:line="240" w:lineRule="auto"/>
        <w:jc w:val="left"/>
        <w:rPr>
          <w:rFonts w:ascii="Verdana" w:hAnsi="Verdana" w:cs="Times New Roman"/>
          <w:sz w:val="22"/>
          <w:szCs w:val="22"/>
          <w:lang w:eastAsia="en-US"/>
        </w:rPr>
      </w:pPr>
    </w:p>
    <w:p w14:paraId="58C26AD4" w14:textId="6416FC3C" w:rsidR="00CD449F" w:rsidRPr="001735FB" w:rsidRDefault="0035635F" w:rsidP="00845B76">
      <w:pPr>
        <w:spacing w:before="0" w:after="0" w:line="240" w:lineRule="auto"/>
        <w:jc w:val="left"/>
        <w:rPr>
          <w:rFonts w:ascii="Verdana" w:hAnsi="Verdana" w:cs="Times New Roman"/>
          <w:sz w:val="22"/>
          <w:szCs w:val="22"/>
          <w:lang w:eastAsia="en-US"/>
        </w:rPr>
      </w:pPr>
      <w:r w:rsidRPr="001735FB">
        <w:rPr>
          <w:rFonts w:ascii="Verdana" w:hAnsi="Verdana" w:cs="Times New Roman"/>
          <w:b/>
          <w:sz w:val="22"/>
          <w:szCs w:val="22"/>
          <w:lang w:eastAsia="en-US"/>
        </w:rPr>
        <w:t xml:space="preserve">People </w:t>
      </w:r>
      <w:r>
        <w:rPr>
          <w:rFonts w:ascii="Verdana" w:hAnsi="Verdana" w:cs="Times New Roman"/>
          <w:b/>
          <w:sz w:val="22"/>
          <w:szCs w:val="22"/>
          <w:lang w:eastAsia="en-US"/>
        </w:rPr>
        <w:t xml:space="preserve">Strategy &amp; Projects </w:t>
      </w:r>
      <w:r w:rsidRPr="001735FB">
        <w:rPr>
          <w:rFonts w:ascii="Verdana" w:hAnsi="Verdana" w:cs="Times New Roman"/>
          <w:b/>
          <w:sz w:val="22"/>
          <w:szCs w:val="22"/>
          <w:lang w:eastAsia="en-US"/>
        </w:rPr>
        <w:t>Team</w:t>
      </w:r>
      <w:r w:rsidRPr="001735FB">
        <w:rPr>
          <w:rFonts w:ascii="Verdana" w:hAnsi="Verdana" w:cs="Times New Roman"/>
          <w:sz w:val="22"/>
          <w:szCs w:val="22"/>
          <w:lang w:eastAsia="en-US"/>
        </w:rPr>
        <w:t xml:space="preserve"> </w:t>
      </w:r>
      <w:r w:rsidR="00CD449F" w:rsidRPr="001735FB">
        <w:rPr>
          <w:rFonts w:ascii="Verdana" w:hAnsi="Verdana" w:cs="Times New Roman"/>
          <w:sz w:val="22"/>
          <w:szCs w:val="22"/>
          <w:lang w:eastAsia="en-US"/>
        </w:rPr>
        <w:t>is responsible for reviewing and updating this polic</w:t>
      </w:r>
      <w:r w:rsidR="003D5C14" w:rsidRPr="001735FB">
        <w:rPr>
          <w:rFonts w:ascii="Verdana" w:hAnsi="Verdana" w:cs="Times New Roman"/>
          <w:sz w:val="22"/>
          <w:szCs w:val="22"/>
          <w:lang w:eastAsia="en-US"/>
        </w:rPr>
        <w:t xml:space="preserve">y and procedure and associated </w:t>
      </w:r>
      <w:r w:rsidR="00CD449F" w:rsidRPr="001735FB">
        <w:rPr>
          <w:rFonts w:ascii="Verdana" w:hAnsi="Verdana" w:cs="Times New Roman"/>
          <w:sz w:val="22"/>
          <w:szCs w:val="22"/>
          <w:lang w:eastAsia="en-US"/>
        </w:rPr>
        <w:t xml:space="preserve">documentations to reflect legislative changes and good practice. </w:t>
      </w:r>
    </w:p>
    <w:p w14:paraId="3589249A" w14:textId="77777777" w:rsidR="00560B70" w:rsidRPr="001735FB" w:rsidRDefault="00560B70" w:rsidP="00661C30">
      <w:pPr>
        <w:spacing w:before="0" w:after="200" w:line="276" w:lineRule="auto"/>
        <w:jc w:val="left"/>
        <w:rPr>
          <w:rFonts w:ascii="Verdana" w:eastAsia="Calibri" w:hAnsi="Verdana"/>
          <w:sz w:val="22"/>
          <w:szCs w:val="22"/>
          <w:lang w:eastAsia="en-US"/>
        </w:rPr>
      </w:pPr>
    </w:p>
    <w:p w14:paraId="694DFCC3" w14:textId="77777777" w:rsidR="0061694A" w:rsidRPr="001735FB" w:rsidRDefault="0061694A" w:rsidP="00E64EAC">
      <w:pPr>
        <w:pStyle w:val="Heading4"/>
        <w:rPr>
          <w:sz w:val="22"/>
          <w:szCs w:val="22"/>
          <w:lang w:eastAsia="en-US"/>
        </w:rPr>
      </w:pPr>
      <w:r w:rsidRPr="001735FB">
        <w:rPr>
          <w:sz w:val="22"/>
          <w:szCs w:val="22"/>
          <w:lang w:eastAsia="en-US"/>
        </w:rPr>
        <w:t>Definitions</w:t>
      </w:r>
    </w:p>
    <w:p w14:paraId="6FE6B65B" w14:textId="77777777" w:rsidR="003B59FE" w:rsidRPr="001735FB" w:rsidRDefault="002A439A" w:rsidP="00661C30">
      <w:pPr>
        <w:spacing w:before="0" w:after="0" w:line="240" w:lineRule="auto"/>
        <w:jc w:val="left"/>
        <w:rPr>
          <w:rFonts w:ascii="Verdana" w:hAnsi="Verdana"/>
          <w:sz w:val="22"/>
          <w:szCs w:val="22"/>
          <w:lang w:eastAsia="en-US"/>
        </w:rPr>
      </w:pPr>
      <w:r w:rsidRPr="001735FB">
        <w:rPr>
          <w:rFonts w:ascii="Verdana" w:hAnsi="Verdana"/>
          <w:b/>
          <w:sz w:val="22"/>
          <w:szCs w:val="22"/>
          <w:lang w:eastAsia="en-US"/>
        </w:rPr>
        <w:br/>
      </w:r>
      <w:r w:rsidR="00CD449F" w:rsidRPr="001735FB">
        <w:rPr>
          <w:rFonts w:ascii="Verdana" w:hAnsi="Verdana"/>
          <w:b/>
          <w:sz w:val="22"/>
          <w:szCs w:val="22"/>
          <w:lang w:eastAsia="en-US"/>
        </w:rPr>
        <w:t>Short term absence</w:t>
      </w:r>
      <w:r w:rsidR="003B59FE" w:rsidRPr="001735FB">
        <w:rPr>
          <w:rFonts w:ascii="Verdana" w:hAnsi="Verdana"/>
          <w:sz w:val="22"/>
          <w:szCs w:val="22"/>
          <w:lang w:eastAsia="en-US"/>
        </w:rPr>
        <w:t xml:space="preserve"> is absence of less than 4 weeks</w:t>
      </w:r>
      <w:r w:rsidR="00D5518F">
        <w:rPr>
          <w:rFonts w:ascii="Verdana" w:hAnsi="Verdana"/>
          <w:sz w:val="22"/>
          <w:szCs w:val="22"/>
          <w:lang w:eastAsia="en-US"/>
        </w:rPr>
        <w:br/>
      </w:r>
    </w:p>
    <w:p w14:paraId="00EEA205" w14:textId="77777777" w:rsidR="0055200C" w:rsidRPr="001735FB" w:rsidRDefault="0055200C" w:rsidP="0055200C">
      <w:pPr>
        <w:spacing w:before="0" w:after="0" w:line="240" w:lineRule="auto"/>
        <w:jc w:val="left"/>
        <w:rPr>
          <w:rFonts w:ascii="Verdana" w:hAnsi="Verdana"/>
          <w:sz w:val="22"/>
          <w:szCs w:val="22"/>
          <w:lang w:eastAsia="en-US"/>
        </w:rPr>
      </w:pPr>
      <w:r w:rsidRPr="001735FB">
        <w:rPr>
          <w:rFonts w:ascii="Verdana" w:hAnsi="Verdana"/>
          <w:b/>
          <w:sz w:val="22"/>
          <w:szCs w:val="22"/>
          <w:lang w:eastAsia="en-US"/>
        </w:rPr>
        <w:t>Trigger points</w:t>
      </w:r>
      <w:r w:rsidRPr="001735FB">
        <w:rPr>
          <w:rFonts w:ascii="Verdana" w:hAnsi="Verdana"/>
          <w:sz w:val="22"/>
          <w:szCs w:val="22"/>
          <w:lang w:eastAsia="en-US"/>
        </w:rPr>
        <w:t xml:space="preserve"> referred to in this policy and procedure for Short-term absence are</w:t>
      </w:r>
    </w:p>
    <w:p w14:paraId="5DCA4F17" w14:textId="77777777" w:rsidR="0055200C" w:rsidRPr="001735FB" w:rsidRDefault="00D5518F" w:rsidP="0055200C">
      <w:pPr>
        <w:spacing w:before="0" w:after="0" w:line="240" w:lineRule="auto"/>
        <w:jc w:val="left"/>
        <w:rPr>
          <w:rFonts w:ascii="Verdana" w:hAnsi="Verdana"/>
          <w:sz w:val="22"/>
          <w:szCs w:val="22"/>
          <w:lang w:eastAsia="en-US"/>
        </w:rPr>
      </w:pPr>
      <w:r>
        <w:rPr>
          <w:rFonts w:ascii="Verdana" w:hAnsi="Verdana"/>
          <w:sz w:val="22"/>
          <w:szCs w:val="22"/>
          <w:lang w:eastAsia="en-US"/>
        </w:rPr>
        <w:t>w</w:t>
      </w:r>
      <w:r w:rsidR="0055200C" w:rsidRPr="001735FB">
        <w:rPr>
          <w:rFonts w:ascii="Verdana" w:hAnsi="Verdana"/>
          <w:sz w:val="22"/>
          <w:szCs w:val="22"/>
          <w:lang w:eastAsia="en-US"/>
        </w:rPr>
        <w:t>ithin a rolling 6 month period</w:t>
      </w:r>
      <w:r>
        <w:rPr>
          <w:rFonts w:ascii="Verdana" w:hAnsi="Verdana"/>
          <w:sz w:val="22"/>
          <w:szCs w:val="22"/>
          <w:lang w:eastAsia="en-US"/>
        </w:rPr>
        <w:t xml:space="preserve"> as follows</w:t>
      </w:r>
      <w:r w:rsidR="0055200C" w:rsidRPr="001735FB">
        <w:rPr>
          <w:rFonts w:ascii="Verdana" w:hAnsi="Verdana"/>
          <w:sz w:val="22"/>
          <w:szCs w:val="22"/>
          <w:lang w:eastAsia="en-US"/>
        </w:rPr>
        <w:t>:</w:t>
      </w:r>
      <w:r>
        <w:rPr>
          <w:rFonts w:ascii="Verdana" w:hAnsi="Verdana"/>
          <w:sz w:val="22"/>
          <w:szCs w:val="22"/>
          <w:lang w:eastAsia="en-US"/>
        </w:rPr>
        <w:br/>
      </w:r>
    </w:p>
    <w:p w14:paraId="354904D1" w14:textId="77777777" w:rsidR="0055200C" w:rsidRPr="001735FB" w:rsidRDefault="0055200C" w:rsidP="0055200C">
      <w:pPr>
        <w:spacing w:before="0" w:after="0" w:line="240" w:lineRule="auto"/>
        <w:jc w:val="left"/>
        <w:rPr>
          <w:rFonts w:ascii="Verdana" w:hAnsi="Verdana"/>
          <w:sz w:val="22"/>
          <w:szCs w:val="22"/>
          <w:lang w:eastAsia="en-US"/>
        </w:rPr>
      </w:pPr>
      <w:r w:rsidRPr="001735FB">
        <w:rPr>
          <w:rFonts w:ascii="Verdana" w:hAnsi="Verdana"/>
          <w:sz w:val="22"/>
          <w:szCs w:val="22"/>
          <w:lang w:eastAsia="en-US"/>
        </w:rPr>
        <w:t>•Two absences totalling 10 days; OR</w:t>
      </w:r>
    </w:p>
    <w:p w14:paraId="4D4A949A" w14:textId="77777777" w:rsidR="0055200C" w:rsidRPr="001735FB" w:rsidRDefault="0055200C" w:rsidP="0055200C">
      <w:pPr>
        <w:spacing w:before="0" w:after="0" w:line="240" w:lineRule="auto"/>
        <w:jc w:val="left"/>
        <w:rPr>
          <w:rFonts w:ascii="Verdana" w:hAnsi="Verdana"/>
          <w:sz w:val="22"/>
          <w:szCs w:val="22"/>
          <w:lang w:eastAsia="en-US"/>
        </w:rPr>
      </w:pPr>
      <w:r w:rsidRPr="001735FB">
        <w:rPr>
          <w:rFonts w:ascii="Verdana" w:hAnsi="Verdana"/>
          <w:sz w:val="22"/>
          <w:szCs w:val="22"/>
          <w:lang w:eastAsia="en-US"/>
        </w:rPr>
        <w:t>•Regardless of the duration of absences, the third occasion of absence.</w:t>
      </w:r>
    </w:p>
    <w:p w14:paraId="4133A725" w14:textId="77777777" w:rsidR="00CD449F" w:rsidRPr="001735FB" w:rsidRDefault="002A439A" w:rsidP="00661C30">
      <w:pPr>
        <w:spacing w:before="0" w:after="0" w:line="240" w:lineRule="auto"/>
        <w:jc w:val="left"/>
        <w:rPr>
          <w:rFonts w:ascii="Verdana" w:hAnsi="Verdana"/>
          <w:sz w:val="22"/>
          <w:szCs w:val="22"/>
          <w:lang w:eastAsia="en-US"/>
        </w:rPr>
      </w:pPr>
      <w:r w:rsidRPr="001735FB">
        <w:rPr>
          <w:rFonts w:ascii="Verdana" w:hAnsi="Verdana"/>
          <w:b/>
          <w:sz w:val="22"/>
          <w:szCs w:val="22"/>
          <w:lang w:eastAsia="en-US"/>
        </w:rPr>
        <w:br/>
      </w:r>
      <w:r w:rsidR="00CD449F" w:rsidRPr="001735FB">
        <w:rPr>
          <w:rFonts w:ascii="Verdana" w:hAnsi="Verdana"/>
          <w:b/>
          <w:sz w:val="22"/>
          <w:szCs w:val="22"/>
          <w:lang w:eastAsia="en-US"/>
        </w:rPr>
        <w:t>Long term absence</w:t>
      </w:r>
      <w:r w:rsidR="003B59FE" w:rsidRPr="001735FB">
        <w:rPr>
          <w:rFonts w:ascii="Verdana" w:hAnsi="Verdana"/>
          <w:sz w:val="22"/>
          <w:szCs w:val="22"/>
          <w:lang w:eastAsia="en-US"/>
        </w:rPr>
        <w:t xml:space="preserve"> is consecutive absence of 4 weeks or more</w:t>
      </w:r>
      <w:r w:rsidR="005C22C1">
        <w:rPr>
          <w:rFonts w:ascii="Verdana" w:hAnsi="Verdana"/>
          <w:sz w:val="22"/>
          <w:szCs w:val="22"/>
          <w:lang w:eastAsia="en-US"/>
        </w:rPr>
        <w:t>.</w:t>
      </w:r>
    </w:p>
    <w:p w14:paraId="75A0100D" w14:textId="77777777" w:rsidR="003B59FE" w:rsidRPr="001735FB" w:rsidRDefault="003B59FE" w:rsidP="003B59FE">
      <w:pPr>
        <w:spacing w:before="0" w:after="0" w:line="240" w:lineRule="auto"/>
        <w:jc w:val="left"/>
        <w:rPr>
          <w:rFonts w:ascii="Verdana" w:hAnsi="Verdana"/>
          <w:sz w:val="22"/>
          <w:szCs w:val="22"/>
          <w:lang w:eastAsia="en-US"/>
        </w:rPr>
      </w:pPr>
    </w:p>
    <w:p w14:paraId="1894CC38" w14:textId="77777777" w:rsidR="005D1BCB" w:rsidRPr="00E6150A" w:rsidRDefault="003B59FE" w:rsidP="005D1BCB">
      <w:pPr>
        <w:spacing w:before="0" w:after="0" w:line="240" w:lineRule="auto"/>
        <w:jc w:val="left"/>
        <w:rPr>
          <w:rFonts w:ascii="Verdana" w:hAnsi="Verdana"/>
          <w:sz w:val="22"/>
          <w:szCs w:val="22"/>
          <w:lang w:eastAsia="en-US"/>
        </w:rPr>
      </w:pPr>
      <w:r w:rsidRPr="0041175A">
        <w:rPr>
          <w:rFonts w:ascii="Verdana" w:hAnsi="Verdana" w:cs="Times New Roman"/>
          <w:sz w:val="22"/>
          <w:szCs w:val="22"/>
          <w:lang w:eastAsia="en-US"/>
        </w:rPr>
        <w:t xml:space="preserve">Some </w:t>
      </w:r>
      <w:r w:rsidR="00191DC2">
        <w:rPr>
          <w:rFonts w:ascii="Verdana" w:hAnsi="Verdana" w:cs="Times New Roman"/>
          <w:sz w:val="22"/>
          <w:szCs w:val="22"/>
          <w:lang w:eastAsia="en-US"/>
        </w:rPr>
        <w:t xml:space="preserve">periods of </w:t>
      </w:r>
      <w:r w:rsidRPr="0041175A">
        <w:rPr>
          <w:rFonts w:ascii="Verdana" w:hAnsi="Verdana" w:cs="Times New Roman"/>
          <w:sz w:val="22"/>
          <w:szCs w:val="22"/>
          <w:lang w:eastAsia="en-US"/>
        </w:rPr>
        <w:t xml:space="preserve">absence </w:t>
      </w:r>
      <w:r w:rsidR="00CF4E84">
        <w:rPr>
          <w:rFonts w:ascii="Verdana" w:hAnsi="Verdana" w:cs="Times New Roman"/>
          <w:sz w:val="22"/>
          <w:szCs w:val="22"/>
          <w:lang w:eastAsia="en-US"/>
        </w:rPr>
        <w:t xml:space="preserve">can </w:t>
      </w:r>
      <w:r w:rsidRPr="0041175A">
        <w:rPr>
          <w:rFonts w:ascii="Verdana" w:hAnsi="Verdana" w:cs="Times New Roman"/>
          <w:sz w:val="22"/>
          <w:szCs w:val="22"/>
          <w:lang w:eastAsia="en-US"/>
        </w:rPr>
        <w:t xml:space="preserve">be </w:t>
      </w:r>
      <w:r w:rsidR="00CF4E84">
        <w:rPr>
          <w:rFonts w:ascii="Verdana" w:hAnsi="Verdana" w:cs="Times New Roman"/>
          <w:sz w:val="22"/>
          <w:szCs w:val="22"/>
          <w:lang w:eastAsia="en-US"/>
        </w:rPr>
        <w:t>dis</w:t>
      </w:r>
      <w:r w:rsidRPr="0041175A">
        <w:rPr>
          <w:rFonts w:ascii="Verdana" w:hAnsi="Verdana" w:cs="Times New Roman"/>
          <w:sz w:val="22"/>
          <w:szCs w:val="22"/>
          <w:lang w:eastAsia="en-US"/>
        </w:rPr>
        <w:t xml:space="preserve">counted towards the trigger points, such as </w:t>
      </w:r>
      <w:r w:rsidR="00934C49">
        <w:rPr>
          <w:rFonts w:ascii="Verdana" w:hAnsi="Verdana" w:cs="Times New Roman"/>
          <w:sz w:val="22"/>
          <w:szCs w:val="22"/>
          <w:lang w:eastAsia="en-US"/>
        </w:rPr>
        <w:t xml:space="preserve">sickness </w:t>
      </w:r>
      <w:r w:rsidR="005D1BCB">
        <w:rPr>
          <w:rFonts w:ascii="Verdana" w:hAnsi="Verdana" w:cs="Times New Roman"/>
          <w:sz w:val="22"/>
          <w:szCs w:val="22"/>
          <w:lang w:eastAsia="en-US"/>
        </w:rPr>
        <w:t>absence related to</w:t>
      </w:r>
      <w:r w:rsidR="00F8302A" w:rsidRPr="00F8302A">
        <w:rPr>
          <w:rFonts w:ascii="Verdana" w:hAnsi="Verdana" w:cs="Times New Roman"/>
          <w:sz w:val="22"/>
          <w:szCs w:val="22"/>
          <w:lang w:eastAsia="en-US"/>
        </w:rPr>
        <w:t xml:space="preserve"> </w:t>
      </w:r>
      <w:r w:rsidR="00F8302A">
        <w:rPr>
          <w:rFonts w:ascii="Verdana" w:hAnsi="Verdana" w:cs="Times New Roman"/>
          <w:sz w:val="22"/>
          <w:szCs w:val="22"/>
          <w:lang w:eastAsia="en-US"/>
        </w:rPr>
        <w:t>gender reassignment; disability, impairment, mental or physical health condition; pregnancy</w:t>
      </w:r>
      <w:r w:rsidR="00B25919">
        <w:rPr>
          <w:rFonts w:ascii="Verdana" w:hAnsi="Verdana" w:cs="Times New Roman"/>
          <w:sz w:val="22"/>
          <w:szCs w:val="22"/>
          <w:lang w:eastAsia="en-US"/>
        </w:rPr>
        <w:t xml:space="preserve"> </w:t>
      </w:r>
      <w:r w:rsidR="005D1BCB">
        <w:rPr>
          <w:rFonts w:ascii="Verdana" w:hAnsi="Verdana" w:cs="Times New Roman"/>
          <w:sz w:val="22"/>
          <w:szCs w:val="22"/>
          <w:lang w:eastAsia="en-US"/>
        </w:rPr>
        <w:t xml:space="preserve">or </w:t>
      </w:r>
      <w:r w:rsidRPr="0041175A">
        <w:rPr>
          <w:rFonts w:ascii="Verdana" w:hAnsi="Verdana" w:cs="Times New Roman"/>
          <w:sz w:val="22"/>
          <w:szCs w:val="22"/>
          <w:lang w:eastAsia="en-US"/>
        </w:rPr>
        <w:t>some injuries at work where the individual is not at fault</w:t>
      </w:r>
      <w:r w:rsidR="005D1BCB">
        <w:rPr>
          <w:rFonts w:ascii="Verdana" w:hAnsi="Verdana" w:cs="Times New Roman"/>
          <w:sz w:val="22"/>
          <w:szCs w:val="22"/>
          <w:lang w:eastAsia="en-US"/>
        </w:rPr>
        <w:t xml:space="preserve">. </w:t>
      </w:r>
      <w:r w:rsidR="007906FD" w:rsidRPr="0041175A">
        <w:rPr>
          <w:rFonts w:ascii="Verdana" w:hAnsi="Verdana" w:cs="Times New Roman"/>
          <w:sz w:val="22"/>
          <w:szCs w:val="22"/>
          <w:lang w:eastAsia="en-US"/>
        </w:rPr>
        <w:t>However,</w:t>
      </w:r>
      <w:r w:rsidR="007906FD" w:rsidRPr="00E64540">
        <w:rPr>
          <w:rFonts w:ascii="Verdana" w:hAnsi="Verdana" w:cs="Times New Roman"/>
          <w:lang w:eastAsia="en-US"/>
        </w:rPr>
        <w:t xml:space="preserve"> </w:t>
      </w:r>
      <w:r w:rsidR="007906FD" w:rsidRPr="00E64540">
        <w:rPr>
          <w:rFonts w:ascii="Verdana" w:hAnsi="Verdana"/>
          <w:sz w:val="22"/>
          <w:szCs w:val="22"/>
        </w:rPr>
        <w:t xml:space="preserve">managers will continue to </w:t>
      </w:r>
      <w:r w:rsidR="00800C70">
        <w:rPr>
          <w:rFonts w:ascii="Verdana" w:hAnsi="Verdana"/>
          <w:sz w:val="22"/>
          <w:szCs w:val="22"/>
        </w:rPr>
        <w:t xml:space="preserve">manage sickness absence and </w:t>
      </w:r>
      <w:r w:rsidR="007906FD" w:rsidRPr="00E64540">
        <w:rPr>
          <w:rFonts w:ascii="Verdana" w:hAnsi="Verdana"/>
          <w:sz w:val="22"/>
          <w:szCs w:val="22"/>
        </w:rPr>
        <w:t>monitor such absence levels</w:t>
      </w:r>
      <w:r w:rsidR="007906FD">
        <w:rPr>
          <w:rFonts w:ascii="Verdana" w:hAnsi="Verdana"/>
          <w:sz w:val="22"/>
          <w:szCs w:val="22"/>
        </w:rPr>
        <w:t xml:space="preserve">. </w:t>
      </w:r>
      <w:r w:rsidRPr="0041175A">
        <w:rPr>
          <w:rFonts w:ascii="Verdana" w:hAnsi="Verdana" w:cs="Times New Roman"/>
          <w:sz w:val="22"/>
          <w:szCs w:val="22"/>
          <w:lang w:eastAsia="en-US"/>
        </w:rPr>
        <w:t xml:space="preserve"> </w:t>
      </w:r>
      <w:r w:rsidR="00BE5973">
        <w:rPr>
          <w:rFonts w:ascii="Verdana" w:hAnsi="Verdana"/>
          <w:sz w:val="22"/>
          <w:szCs w:val="22"/>
        </w:rPr>
        <w:t xml:space="preserve">Managers dealing with sickness absence in respect of these </w:t>
      </w:r>
      <w:r w:rsidR="00692A45">
        <w:rPr>
          <w:rFonts w:ascii="Verdana" w:hAnsi="Verdana"/>
          <w:sz w:val="22"/>
          <w:szCs w:val="22"/>
        </w:rPr>
        <w:t>groups</w:t>
      </w:r>
      <w:r w:rsidR="00BE5973">
        <w:rPr>
          <w:rFonts w:ascii="Verdana" w:hAnsi="Verdana"/>
          <w:sz w:val="22"/>
          <w:szCs w:val="22"/>
        </w:rPr>
        <w:t xml:space="preserve"> should seek advice from their Local People Team.</w:t>
      </w:r>
    </w:p>
    <w:p w14:paraId="1F6B3FCF" w14:textId="77777777" w:rsidR="0061694A" w:rsidRPr="001735FB" w:rsidRDefault="0061694A" w:rsidP="00E64EAC">
      <w:pPr>
        <w:pStyle w:val="Heading4"/>
        <w:rPr>
          <w:sz w:val="22"/>
          <w:szCs w:val="22"/>
          <w:lang w:eastAsia="en-US"/>
        </w:rPr>
      </w:pPr>
      <w:r w:rsidRPr="001735FB">
        <w:rPr>
          <w:sz w:val="22"/>
          <w:szCs w:val="22"/>
          <w:lang w:eastAsia="en-US"/>
        </w:rPr>
        <w:t>Policy</w:t>
      </w:r>
    </w:p>
    <w:p w14:paraId="707BBC44" w14:textId="77777777" w:rsidR="003D5C14" w:rsidRPr="001735FB" w:rsidRDefault="003D5C14" w:rsidP="003D5C14">
      <w:p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 xml:space="preserve">The </w:t>
      </w:r>
      <w:r w:rsidR="00271405" w:rsidRPr="001735FB">
        <w:rPr>
          <w:rFonts w:ascii="Verdana" w:hAnsi="Verdana" w:cs="Times New Roman"/>
          <w:sz w:val="22"/>
          <w:szCs w:val="22"/>
        </w:rPr>
        <w:t>S</w:t>
      </w:r>
      <w:r w:rsidRPr="001735FB">
        <w:rPr>
          <w:rFonts w:ascii="Verdana" w:hAnsi="Verdana" w:cs="Times New Roman"/>
          <w:sz w:val="22"/>
          <w:szCs w:val="22"/>
        </w:rPr>
        <w:t xml:space="preserve">ickness </w:t>
      </w:r>
      <w:r w:rsidR="00271405" w:rsidRPr="001735FB">
        <w:rPr>
          <w:rFonts w:ascii="Verdana" w:hAnsi="Verdana" w:cs="Times New Roman"/>
          <w:sz w:val="22"/>
          <w:szCs w:val="22"/>
        </w:rPr>
        <w:t>A</w:t>
      </w:r>
      <w:r w:rsidRPr="001735FB">
        <w:rPr>
          <w:rFonts w:ascii="Verdana" w:hAnsi="Verdana" w:cs="Times New Roman"/>
          <w:sz w:val="22"/>
          <w:szCs w:val="22"/>
        </w:rPr>
        <w:t xml:space="preserve">bsence </w:t>
      </w:r>
      <w:r w:rsidR="00271405" w:rsidRPr="001735FB">
        <w:rPr>
          <w:rFonts w:ascii="Verdana" w:hAnsi="Verdana" w:cs="Times New Roman"/>
          <w:sz w:val="22"/>
          <w:szCs w:val="22"/>
        </w:rPr>
        <w:t>P</w:t>
      </w:r>
      <w:r w:rsidRPr="001735FB">
        <w:rPr>
          <w:rFonts w:ascii="Verdana" w:hAnsi="Verdana" w:cs="Times New Roman"/>
          <w:sz w:val="22"/>
          <w:szCs w:val="22"/>
        </w:rPr>
        <w:t xml:space="preserve">olicy and </w:t>
      </w:r>
      <w:r w:rsidR="00271405" w:rsidRPr="001735FB">
        <w:rPr>
          <w:rFonts w:ascii="Verdana" w:hAnsi="Verdana" w:cs="Times New Roman"/>
          <w:sz w:val="22"/>
          <w:szCs w:val="22"/>
        </w:rPr>
        <w:t>P</w:t>
      </w:r>
      <w:r w:rsidRPr="001735FB">
        <w:rPr>
          <w:rFonts w:ascii="Verdana" w:hAnsi="Verdana" w:cs="Times New Roman"/>
          <w:sz w:val="22"/>
          <w:szCs w:val="22"/>
        </w:rPr>
        <w:t>rocedures do not form a contractual entitlement and Barnardo’s reserves the right to vary these in the interests of efficiency.</w:t>
      </w:r>
    </w:p>
    <w:p w14:paraId="55F27543" w14:textId="77777777" w:rsidR="003D5C14" w:rsidRPr="001735FB" w:rsidRDefault="003D5C14" w:rsidP="003D5C14">
      <w:p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t>Timescales provided are by way of guidance only and it may be necessary to depart from these timescales where Barnardo’s deem it discretionally reasonable to do so.  Any delay will be communicated promptly to the parties involved.</w:t>
      </w:r>
    </w:p>
    <w:p w14:paraId="51896F38" w14:textId="77777777" w:rsidR="0069396B" w:rsidRDefault="003D5C14" w:rsidP="003D5C14">
      <w:pPr>
        <w:spacing w:before="100" w:beforeAutospacing="1" w:after="100" w:afterAutospacing="1" w:line="240" w:lineRule="auto"/>
        <w:jc w:val="left"/>
        <w:rPr>
          <w:rFonts w:ascii="Verdana" w:hAnsi="Verdana" w:cs="Times New Roman"/>
          <w:sz w:val="22"/>
          <w:szCs w:val="22"/>
        </w:rPr>
      </w:pPr>
      <w:r w:rsidRPr="001735FB">
        <w:rPr>
          <w:rFonts w:ascii="Verdana" w:hAnsi="Verdana" w:cs="Times New Roman"/>
          <w:sz w:val="22"/>
          <w:szCs w:val="22"/>
        </w:rPr>
        <w:lastRenderedPageBreak/>
        <w:t>In order to minimise the disruption that sickness absence can cause, employees are expected to take due care in deciding whether or not they are well enough to attend work and to follow medical advice as appropriate.</w:t>
      </w:r>
    </w:p>
    <w:p w14:paraId="207C960E" w14:textId="77777777" w:rsidR="0061694A" w:rsidRPr="001735FB" w:rsidRDefault="0061694A" w:rsidP="00E64EAC">
      <w:pPr>
        <w:pStyle w:val="Heading4"/>
        <w:rPr>
          <w:sz w:val="22"/>
          <w:szCs w:val="22"/>
          <w:lang w:eastAsia="en-US"/>
        </w:rPr>
      </w:pPr>
      <w:r w:rsidRPr="001735FB">
        <w:rPr>
          <w:sz w:val="22"/>
          <w:szCs w:val="22"/>
          <w:lang w:eastAsia="en-US"/>
        </w:rPr>
        <w:t>Procedures</w:t>
      </w:r>
    </w:p>
    <w:p w14:paraId="66956156" w14:textId="77777777" w:rsidR="00845B76" w:rsidRPr="008506C0" w:rsidRDefault="00845B76" w:rsidP="00BB1A5A">
      <w:pPr>
        <w:pStyle w:val="Heading1"/>
      </w:pPr>
      <w:r w:rsidRPr="008506C0">
        <w:t>Notification of sickness absence</w:t>
      </w:r>
    </w:p>
    <w:p w14:paraId="0BC420AC" w14:textId="77777777" w:rsidR="00845B76" w:rsidRDefault="00845B76" w:rsidP="00BB1A5A">
      <w:pPr>
        <w:pStyle w:val="ListParagraph"/>
        <w:numPr>
          <w:ilvl w:val="1"/>
          <w:numId w:val="8"/>
        </w:numPr>
        <w:spacing w:before="100" w:beforeAutospacing="1" w:after="100" w:afterAutospacing="1" w:line="240" w:lineRule="auto"/>
        <w:ind w:left="426" w:hanging="426"/>
        <w:jc w:val="left"/>
        <w:rPr>
          <w:rFonts w:ascii="Verdana" w:hAnsi="Verdana" w:cs="Times New Roman"/>
          <w:sz w:val="22"/>
          <w:szCs w:val="22"/>
        </w:rPr>
      </w:pPr>
      <w:r w:rsidRPr="001735FB">
        <w:rPr>
          <w:rFonts w:ascii="Verdana" w:hAnsi="Verdana" w:cs="Times New Roman"/>
          <w:b/>
          <w:bCs/>
          <w:sz w:val="22"/>
          <w:szCs w:val="22"/>
        </w:rPr>
        <w:t>Day 1 and ongoing</w:t>
      </w:r>
      <w:r w:rsidR="0069396B" w:rsidRPr="0069396B">
        <w:rPr>
          <w:rFonts w:ascii="Verdana" w:hAnsi="Verdana" w:cs="Times New Roman"/>
          <w:b/>
          <w:bCs/>
          <w:sz w:val="22"/>
          <w:szCs w:val="22"/>
          <w:vertAlign w:val="superscript"/>
        </w:rPr>
        <w:footnoteReference w:id="1"/>
      </w:r>
      <w:r w:rsidRPr="001735FB">
        <w:rPr>
          <w:rFonts w:ascii="Verdana" w:hAnsi="Verdana" w:cs="Times New Roman"/>
          <w:sz w:val="22"/>
          <w:szCs w:val="22"/>
        </w:rPr>
        <w:t>:  To qualify for sick pay</w:t>
      </w:r>
      <w:r w:rsidR="008963C9">
        <w:rPr>
          <w:rFonts w:ascii="Verdana" w:hAnsi="Verdana" w:cs="Times New Roman"/>
          <w:sz w:val="22"/>
          <w:szCs w:val="22"/>
        </w:rPr>
        <w:t>,</w:t>
      </w:r>
      <w:r w:rsidRPr="001735FB">
        <w:rPr>
          <w:rFonts w:ascii="Verdana" w:hAnsi="Verdana" w:cs="Times New Roman"/>
          <w:sz w:val="22"/>
          <w:szCs w:val="22"/>
        </w:rPr>
        <w:t xml:space="preserve"> employees </w:t>
      </w:r>
      <w:r w:rsidRPr="001735FB">
        <w:rPr>
          <w:rFonts w:ascii="Verdana" w:hAnsi="Verdana" w:cs="Times New Roman"/>
          <w:b/>
          <w:bCs/>
          <w:sz w:val="22"/>
          <w:szCs w:val="22"/>
        </w:rPr>
        <w:t>themselves</w:t>
      </w:r>
      <w:r w:rsidRPr="001735FB">
        <w:rPr>
          <w:rFonts w:ascii="Verdana" w:hAnsi="Verdana" w:cs="Times New Roman"/>
          <w:sz w:val="22"/>
          <w:szCs w:val="22"/>
        </w:rPr>
        <w:t xml:space="preserve"> must notify their line manager </w:t>
      </w:r>
      <w:r w:rsidR="008963C9">
        <w:rPr>
          <w:rFonts w:ascii="Verdana" w:hAnsi="Verdana" w:cs="Times New Roman"/>
          <w:sz w:val="22"/>
          <w:szCs w:val="22"/>
        </w:rPr>
        <w:t xml:space="preserve">by phone </w:t>
      </w:r>
      <w:r w:rsidRPr="001735FB">
        <w:rPr>
          <w:rFonts w:ascii="Verdana" w:hAnsi="Verdana" w:cs="Times New Roman"/>
          <w:b/>
          <w:bCs/>
          <w:sz w:val="22"/>
          <w:szCs w:val="22"/>
        </w:rPr>
        <w:t>within one hour of their scheduled start time</w:t>
      </w:r>
      <w:r w:rsidRPr="001735FB">
        <w:rPr>
          <w:rFonts w:ascii="Verdana" w:hAnsi="Verdana" w:cs="Times New Roman"/>
          <w:sz w:val="22"/>
          <w:szCs w:val="22"/>
        </w:rPr>
        <w:t xml:space="preserve"> </w:t>
      </w:r>
      <w:r w:rsidR="008963C9" w:rsidRPr="001735FB">
        <w:rPr>
          <w:rFonts w:ascii="Verdana" w:hAnsi="Verdana" w:cs="Times New Roman"/>
          <w:sz w:val="22"/>
          <w:szCs w:val="22"/>
        </w:rPr>
        <w:t>(</w:t>
      </w:r>
      <w:r w:rsidR="008963C9">
        <w:rPr>
          <w:rFonts w:ascii="Verdana" w:hAnsi="Verdana" w:cs="Times New Roman"/>
          <w:sz w:val="22"/>
          <w:szCs w:val="22"/>
        </w:rPr>
        <w:t xml:space="preserve">unless </w:t>
      </w:r>
      <w:r w:rsidR="008963C9" w:rsidRPr="001735FB">
        <w:rPr>
          <w:rFonts w:ascii="Verdana" w:hAnsi="Verdana" w:cs="Times New Roman"/>
          <w:sz w:val="22"/>
          <w:szCs w:val="22"/>
        </w:rPr>
        <w:t>local rules require</w:t>
      </w:r>
      <w:r w:rsidR="008963C9">
        <w:rPr>
          <w:rFonts w:ascii="Verdana" w:hAnsi="Verdana" w:cs="Times New Roman"/>
          <w:sz w:val="22"/>
          <w:szCs w:val="22"/>
        </w:rPr>
        <w:t xml:space="preserve"> otherwise</w:t>
      </w:r>
      <w:r w:rsidR="008963C9" w:rsidRPr="001735FB">
        <w:rPr>
          <w:rFonts w:ascii="Verdana" w:hAnsi="Verdana" w:cs="Times New Roman"/>
          <w:sz w:val="22"/>
          <w:szCs w:val="22"/>
        </w:rPr>
        <w:t>)</w:t>
      </w:r>
      <w:r w:rsidR="008963C9">
        <w:rPr>
          <w:rFonts w:ascii="Verdana" w:hAnsi="Verdana" w:cs="Times New Roman"/>
          <w:sz w:val="22"/>
          <w:szCs w:val="22"/>
        </w:rPr>
        <w:t xml:space="preserve"> </w:t>
      </w:r>
      <w:r w:rsidRPr="001735FB">
        <w:rPr>
          <w:rFonts w:ascii="Verdana" w:hAnsi="Verdana" w:cs="Times New Roman"/>
          <w:sz w:val="22"/>
          <w:szCs w:val="22"/>
        </w:rPr>
        <w:t>with the nature and likely duration of the illness.  It is not sufficient to leave a voicemail message or send a text/email. If the line manager is unavailable, a message may be left with another staff member.  The line manager may return the employee’s call later.</w:t>
      </w:r>
      <w:r w:rsidR="00473B96">
        <w:rPr>
          <w:rFonts w:ascii="Verdana" w:hAnsi="Verdana" w:cs="Times New Roman"/>
          <w:sz w:val="22"/>
          <w:szCs w:val="22"/>
        </w:rPr>
        <w:br/>
      </w:r>
    </w:p>
    <w:p w14:paraId="7E2626B2" w14:textId="77777777" w:rsidR="006E5D8E" w:rsidRDefault="005519B9" w:rsidP="00BB1A5A">
      <w:pPr>
        <w:pStyle w:val="ListParagraph"/>
        <w:numPr>
          <w:ilvl w:val="1"/>
          <w:numId w:val="8"/>
        </w:numPr>
        <w:spacing w:before="100" w:beforeAutospacing="1" w:after="100" w:afterAutospacing="1" w:line="240" w:lineRule="auto"/>
        <w:ind w:left="426" w:hanging="426"/>
        <w:jc w:val="left"/>
        <w:rPr>
          <w:rFonts w:ascii="Verdana" w:hAnsi="Verdana" w:cs="Times New Roman"/>
          <w:sz w:val="22"/>
          <w:szCs w:val="22"/>
        </w:rPr>
      </w:pPr>
      <w:r w:rsidRPr="00AB021D">
        <w:rPr>
          <w:rFonts w:ascii="Verdana" w:hAnsi="Verdana" w:cs="Times New Roman"/>
          <w:bCs/>
          <w:sz w:val="22"/>
          <w:szCs w:val="22"/>
        </w:rPr>
        <w:t>The line manager should ask about the likely duration of the absence.  If the absence is likely to last a week or longer, the manager and employee should agree a contact schedule</w:t>
      </w:r>
      <w:r>
        <w:rPr>
          <w:rFonts w:ascii="Verdana" w:hAnsi="Verdana" w:cs="Times New Roman"/>
          <w:bCs/>
          <w:sz w:val="22"/>
          <w:szCs w:val="22"/>
        </w:rPr>
        <w:t xml:space="preserve"> so that the employee is regularly updating their manager on progress.  </w:t>
      </w:r>
      <w:r w:rsidR="00845B76" w:rsidRPr="001735FB">
        <w:rPr>
          <w:rFonts w:ascii="Verdana" w:hAnsi="Verdana" w:cs="Times New Roman"/>
          <w:sz w:val="22"/>
          <w:szCs w:val="22"/>
        </w:rPr>
        <w:t>As a minimum, they must be contacted the day before any medical certificate is due to expire to confirm when a return to work can be expected.</w:t>
      </w:r>
      <w:r w:rsidR="006E5D8E">
        <w:rPr>
          <w:rFonts w:ascii="Verdana" w:hAnsi="Verdana" w:cs="Times New Roman"/>
          <w:sz w:val="22"/>
          <w:szCs w:val="22"/>
        </w:rPr>
        <w:br/>
      </w:r>
    </w:p>
    <w:p w14:paraId="18A76E0E" w14:textId="445A416D" w:rsidR="00845B76" w:rsidRPr="001E4BAA" w:rsidRDefault="006E5D8E" w:rsidP="00BB1A5A">
      <w:pPr>
        <w:pStyle w:val="ListParagraph"/>
        <w:numPr>
          <w:ilvl w:val="1"/>
          <w:numId w:val="8"/>
        </w:numPr>
        <w:spacing w:before="100" w:beforeAutospacing="1" w:after="100" w:afterAutospacing="1" w:line="240" w:lineRule="auto"/>
        <w:ind w:left="426" w:hanging="426"/>
        <w:jc w:val="left"/>
        <w:rPr>
          <w:rFonts w:ascii="Verdana" w:hAnsi="Verdana" w:cs="Times New Roman"/>
          <w:sz w:val="22"/>
          <w:szCs w:val="22"/>
        </w:rPr>
      </w:pPr>
      <w:r w:rsidRPr="006E5D8E">
        <w:rPr>
          <w:rFonts w:ascii="Verdana" w:hAnsi="Verdana" w:cs="Times New Roman"/>
          <w:sz w:val="22"/>
          <w:szCs w:val="22"/>
        </w:rPr>
        <w:t xml:space="preserve"> A </w:t>
      </w:r>
      <w:r w:rsidRPr="006E5D8E">
        <w:rPr>
          <w:rFonts w:ascii="Verdana" w:hAnsi="Verdana" w:cs="Times New Roman"/>
          <w:bCs/>
          <w:sz w:val="22"/>
          <w:szCs w:val="22"/>
        </w:rPr>
        <w:t>s</w:t>
      </w:r>
      <w:r w:rsidRPr="00B07F59">
        <w:rPr>
          <w:rFonts w:ascii="Verdana" w:hAnsi="Verdana" w:cs="Times New Roman"/>
          <w:bCs/>
          <w:sz w:val="22"/>
          <w:szCs w:val="22"/>
        </w:rPr>
        <w:t xml:space="preserve">ickness absence record must be created in </w:t>
      </w:r>
      <w:r w:rsidR="009A5B88">
        <w:rPr>
          <w:rFonts w:ascii="Verdana" w:hAnsi="Verdana" w:cs="Times New Roman"/>
          <w:bCs/>
          <w:sz w:val="22"/>
          <w:szCs w:val="22"/>
        </w:rPr>
        <w:t>Dynamic</w:t>
      </w:r>
      <w:r w:rsidR="004C4C82">
        <w:rPr>
          <w:rFonts w:ascii="Verdana" w:hAnsi="Verdana" w:cs="Times New Roman"/>
          <w:bCs/>
          <w:sz w:val="22"/>
          <w:szCs w:val="22"/>
        </w:rPr>
        <w:t>s 365</w:t>
      </w:r>
      <w:r w:rsidRPr="00B07F59">
        <w:rPr>
          <w:rFonts w:ascii="Verdana" w:hAnsi="Verdana" w:cs="Times New Roman"/>
          <w:bCs/>
          <w:sz w:val="22"/>
          <w:szCs w:val="22"/>
        </w:rPr>
        <w:t xml:space="preserve"> by the Manager/ </w:t>
      </w:r>
      <w:r w:rsidR="00674636">
        <w:rPr>
          <w:rFonts w:ascii="Verdana" w:hAnsi="Verdana" w:cs="Times New Roman"/>
          <w:bCs/>
          <w:sz w:val="22"/>
          <w:szCs w:val="22"/>
        </w:rPr>
        <w:t>Employee</w:t>
      </w:r>
      <w:r w:rsidRPr="00B07F59">
        <w:rPr>
          <w:rFonts w:ascii="Verdana" w:hAnsi="Verdana" w:cs="Times New Roman"/>
          <w:bCs/>
          <w:sz w:val="22"/>
          <w:szCs w:val="22"/>
        </w:rPr>
        <w:t xml:space="preserve"> on the day </w:t>
      </w:r>
      <w:r w:rsidRPr="001E4BAA">
        <w:rPr>
          <w:rFonts w:ascii="Verdana" w:hAnsi="Verdana" w:cs="Times New Roman"/>
          <w:bCs/>
          <w:sz w:val="22"/>
          <w:szCs w:val="22"/>
        </w:rPr>
        <w:t xml:space="preserve">the absence was reported. A user-guide is available on </w:t>
      </w:r>
      <w:r w:rsidR="00674636">
        <w:rPr>
          <w:rFonts w:ascii="Verdana" w:hAnsi="Verdana" w:cs="Times New Roman"/>
          <w:bCs/>
          <w:sz w:val="22"/>
          <w:szCs w:val="22"/>
        </w:rPr>
        <w:t>Inside.Barnardo’s</w:t>
      </w:r>
      <w:r w:rsidRPr="001E4BAA">
        <w:rPr>
          <w:rFonts w:ascii="Verdana" w:hAnsi="Verdana" w:cs="Times New Roman"/>
          <w:bCs/>
          <w:sz w:val="22"/>
          <w:szCs w:val="22"/>
        </w:rPr>
        <w:t xml:space="preserve"> for absence records entered via </w:t>
      </w:r>
      <w:r w:rsidR="00674636">
        <w:rPr>
          <w:rFonts w:ascii="Verdana" w:hAnsi="Verdana" w:cs="Times New Roman"/>
          <w:bCs/>
          <w:sz w:val="22"/>
          <w:szCs w:val="22"/>
        </w:rPr>
        <w:t>Dynamics 365</w:t>
      </w:r>
      <w:r w:rsidRPr="001E4BAA">
        <w:rPr>
          <w:rFonts w:ascii="Verdana" w:hAnsi="Verdana" w:cs="Times New Roman"/>
          <w:bCs/>
          <w:sz w:val="22"/>
          <w:szCs w:val="22"/>
        </w:rPr>
        <w:t>.</w:t>
      </w:r>
      <w:r w:rsidR="00473B96" w:rsidRPr="001E4BAA">
        <w:rPr>
          <w:rFonts w:ascii="Verdana" w:hAnsi="Verdana" w:cs="Times New Roman"/>
          <w:sz w:val="22"/>
          <w:szCs w:val="22"/>
        </w:rPr>
        <w:br/>
      </w:r>
    </w:p>
    <w:p w14:paraId="6A35DE6F" w14:textId="416E5FCE" w:rsidR="006D5A0D" w:rsidRPr="00DB5DB7" w:rsidRDefault="00845B76" w:rsidP="00BB1A5A">
      <w:pPr>
        <w:pStyle w:val="ListParagraph"/>
        <w:numPr>
          <w:ilvl w:val="1"/>
          <w:numId w:val="8"/>
        </w:numPr>
        <w:spacing w:before="100" w:beforeAutospacing="1" w:after="100" w:afterAutospacing="1" w:line="240" w:lineRule="auto"/>
        <w:ind w:left="426" w:hanging="426"/>
        <w:jc w:val="left"/>
        <w:rPr>
          <w:rFonts w:ascii="Verdana" w:hAnsi="Verdana" w:cs="Times New Roman"/>
          <w:sz w:val="22"/>
          <w:szCs w:val="22"/>
        </w:rPr>
      </w:pPr>
      <w:r w:rsidRPr="001E4BAA">
        <w:rPr>
          <w:rFonts w:ascii="Verdana" w:hAnsi="Verdana" w:cs="Times New Roman"/>
          <w:b/>
          <w:bCs/>
          <w:sz w:val="22"/>
          <w:szCs w:val="22"/>
        </w:rPr>
        <w:t>Self certification</w:t>
      </w:r>
      <w:r w:rsidRPr="001E4BAA">
        <w:rPr>
          <w:rFonts w:ascii="Verdana" w:hAnsi="Verdana" w:cs="Times New Roman"/>
          <w:sz w:val="22"/>
          <w:szCs w:val="22"/>
        </w:rPr>
        <w:t xml:space="preserve">:  For all sickness absences, </w:t>
      </w:r>
      <w:r w:rsidR="00FE487E" w:rsidRPr="008506C0">
        <w:rPr>
          <w:rFonts w:ascii="Verdana" w:hAnsi="Verdana" w:cs="Times New Roman"/>
          <w:sz w:val="22"/>
          <w:szCs w:val="22"/>
        </w:rPr>
        <w:t xml:space="preserve">employees must complete </w:t>
      </w:r>
      <w:r w:rsidR="006E5D8E" w:rsidRPr="008506C0">
        <w:rPr>
          <w:rFonts w:ascii="Verdana" w:hAnsi="Verdana" w:cs="Times New Roman"/>
          <w:sz w:val="22"/>
          <w:szCs w:val="22"/>
        </w:rPr>
        <w:t xml:space="preserve">the return to work process via </w:t>
      </w:r>
      <w:r w:rsidR="00965437">
        <w:rPr>
          <w:rFonts w:ascii="Verdana" w:hAnsi="Verdana" w:cs="Times New Roman"/>
          <w:sz w:val="22"/>
          <w:szCs w:val="22"/>
        </w:rPr>
        <w:t>Dynamics 365</w:t>
      </w:r>
      <w:r w:rsidR="007F6C33">
        <w:rPr>
          <w:rFonts w:ascii="Verdana" w:hAnsi="Verdana" w:cs="Times New Roman"/>
          <w:sz w:val="22"/>
          <w:szCs w:val="22"/>
        </w:rPr>
        <w:t xml:space="preserve"> – guidance on completing the Return to Work </w:t>
      </w:r>
      <w:r w:rsidR="00612A9A">
        <w:rPr>
          <w:rFonts w:ascii="Verdana" w:hAnsi="Verdana" w:cs="Times New Roman"/>
          <w:sz w:val="22"/>
          <w:szCs w:val="22"/>
        </w:rPr>
        <w:t>form</w:t>
      </w:r>
      <w:r w:rsidR="007F6C33">
        <w:rPr>
          <w:rFonts w:ascii="Verdana" w:hAnsi="Verdana" w:cs="Times New Roman"/>
          <w:sz w:val="22"/>
          <w:szCs w:val="22"/>
        </w:rPr>
        <w:t xml:space="preserve"> is available on </w:t>
      </w:r>
      <w:r w:rsidR="00965437">
        <w:rPr>
          <w:rFonts w:ascii="Verdana" w:hAnsi="Verdana" w:cs="Times New Roman"/>
          <w:sz w:val="22"/>
          <w:szCs w:val="22"/>
        </w:rPr>
        <w:t>Inside.Barnardo</w:t>
      </w:r>
      <w:r w:rsidR="00AD0083">
        <w:rPr>
          <w:rFonts w:ascii="Verdana" w:hAnsi="Verdana" w:cs="Times New Roman"/>
          <w:sz w:val="22"/>
          <w:szCs w:val="22"/>
        </w:rPr>
        <w:t>’s</w:t>
      </w:r>
      <w:r w:rsidR="007F6C33">
        <w:rPr>
          <w:rFonts w:ascii="Verdana" w:hAnsi="Verdana" w:cs="Times New Roman"/>
          <w:sz w:val="22"/>
          <w:szCs w:val="22"/>
        </w:rPr>
        <w:t xml:space="preserve">. </w:t>
      </w:r>
      <w:r w:rsidR="00B07F59">
        <w:rPr>
          <w:rFonts w:ascii="Verdana" w:hAnsi="Verdana" w:cs="Times New Roman"/>
          <w:sz w:val="22"/>
          <w:szCs w:val="22"/>
        </w:rPr>
        <w:br/>
      </w:r>
      <w:r w:rsidR="006E5D8E" w:rsidRPr="00DB5DB7">
        <w:rPr>
          <w:rFonts w:ascii="Verdana" w:hAnsi="Verdana" w:cs="Times New Roman"/>
          <w:sz w:val="22"/>
          <w:szCs w:val="22"/>
        </w:rPr>
        <w:t xml:space="preserve"> </w:t>
      </w:r>
    </w:p>
    <w:p w14:paraId="2FA32FE0" w14:textId="31F20E15" w:rsidR="000857A5" w:rsidRPr="000857A5" w:rsidRDefault="00845B76" w:rsidP="00BB1A5A">
      <w:pPr>
        <w:pStyle w:val="ListParagraph"/>
        <w:numPr>
          <w:ilvl w:val="1"/>
          <w:numId w:val="8"/>
        </w:numPr>
        <w:spacing w:before="100" w:beforeAutospacing="1" w:after="100" w:afterAutospacing="1" w:line="240" w:lineRule="auto"/>
        <w:ind w:left="426" w:hanging="426"/>
        <w:jc w:val="left"/>
        <w:rPr>
          <w:rFonts w:ascii="Verdana" w:hAnsi="Verdana" w:cs="Times New Roman"/>
          <w:sz w:val="22"/>
          <w:szCs w:val="22"/>
        </w:rPr>
      </w:pPr>
      <w:r w:rsidRPr="000857A5">
        <w:rPr>
          <w:rFonts w:ascii="Verdana" w:hAnsi="Verdana" w:cs="Times New Roman"/>
          <w:b/>
          <w:bCs/>
          <w:sz w:val="22"/>
          <w:szCs w:val="22"/>
        </w:rPr>
        <w:t>Medical certificates</w:t>
      </w:r>
      <w:r w:rsidR="00E10DE3">
        <w:rPr>
          <w:rFonts w:ascii="Verdana" w:hAnsi="Verdana" w:cs="Times New Roman"/>
          <w:b/>
          <w:bCs/>
          <w:sz w:val="22"/>
          <w:szCs w:val="22"/>
        </w:rPr>
        <w:t xml:space="preserve">: </w:t>
      </w:r>
      <w:r w:rsidRPr="000857A5">
        <w:rPr>
          <w:rFonts w:ascii="Verdana" w:hAnsi="Verdana" w:cs="Times New Roman"/>
          <w:sz w:val="22"/>
          <w:szCs w:val="22"/>
        </w:rPr>
        <w:t xml:space="preserve">Are required for all absences </w:t>
      </w:r>
      <w:r w:rsidRPr="000857A5">
        <w:rPr>
          <w:rFonts w:ascii="Verdana" w:hAnsi="Verdana" w:cs="Times New Roman"/>
          <w:b/>
          <w:bCs/>
          <w:sz w:val="22"/>
          <w:szCs w:val="22"/>
        </w:rPr>
        <w:t xml:space="preserve">exceeding 7 calendar days </w:t>
      </w:r>
      <w:r w:rsidRPr="000857A5">
        <w:rPr>
          <w:rFonts w:ascii="Verdana" w:hAnsi="Verdana" w:cs="Times New Roman"/>
          <w:sz w:val="22"/>
          <w:szCs w:val="22"/>
        </w:rPr>
        <w:t>(i.e. including weekends).  Receipt of sick pay is dependent upon these being submitted promptly (i.e. no later than the 8th day of absence and, where the absence continues, 2 days after any previous certificate expires).  Barnardo’s reserves the right to request medical certificates for absences of less than 7 calendar days</w:t>
      </w:r>
      <w:r w:rsidR="00B07F59">
        <w:rPr>
          <w:rFonts w:ascii="Verdana" w:hAnsi="Verdana" w:cs="Times New Roman"/>
          <w:sz w:val="22"/>
          <w:szCs w:val="22"/>
        </w:rPr>
        <w:t>’</w:t>
      </w:r>
      <w:r w:rsidRPr="000857A5">
        <w:rPr>
          <w:rFonts w:ascii="Verdana" w:hAnsi="Verdana" w:cs="Times New Roman"/>
          <w:sz w:val="22"/>
          <w:szCs w:val="22"/>
        </w:rPr>
        <w:t xml:space="preserve"> duration and will reimburse any associated costs in this instance.</w:t>
      </w:r>
    </w:p>
    <w:p w14:paraId="22707F44" w14:textId="77777777" w:rsidR="000857A5" w:rsidRPr="007C41EC" w:rsidRDefault="000857A5" w:rsidP="00BB1A5A">
      <w:pPr>
        <w:pStyle w:val="Heading1"/>
      </w:pPr>
      <w:r w:rsidRPr="007C41EC">
        <w:t>Maintaining contact during sickness absence</w:t>
      </w:r>
      <w:r w:rsidR="008506C0">
        <w:br/>
      </w:r>
    </w:p>
    <w:p w14:paraId="50CF13D7" w14:textId="77777777" w:rsidR="008506C0" w:rsidRDefault="000857A5" w:rsidP="00BB1A5A">
      <w:pPr>
        <w:pStyle w:val="ListParagraph"/>
        <w:numPr>
          <w:ilvl w:val="1"/>
          <w:numId w:val="12"/>
        </w:numPr>
        <w:spacing w:before="0" w:beforeAutospacing="1" w:after="0" w:afterAutospacing="1" w:line="240" w:lineRule="auto"/>
        <w:ind w:left="720"/>
        <w:jc w:val="left"/>
        <w:rPr>
          <w:rFonts w:ascii="Verdana" w:hAnsi="Verdana" w:cs="Times New Roman"/>
          <w:sz w:val="22"/>
          <w:szCs w:val="22"/>
        </w:rPr>
      </w:pPr>
      <w:r w:rsidRPr="008506C0">
        <w:rPr>
          <w:rFonts w:ascii="Verdana" w:hAnsi="Verdana" w:cs="Times New Roman"/>
          <w:sz w:val="22"/>
          <w:szCs w:val="22"/>
        </w:rPr>
        <w:t xml:space="preserve">When it is known that an absence will last longer than a week, Line managers (or the Local People Team) will agree a contact schedule with employees to enquire about health and progress during absences.   It is recommended that the manager and employee agree a contact schedule that includes: frequency of contact, regular times or dates and who will make contact.  Contact will usually be by telephone (including text to a Barnardo’s mobile phone and in writing) or home visit.  It may also be appropriate to agree what work issues may be helpful to </w:t>
      </w:r>
      <w:r w:rsidRPr="008506C0">
        <w:rPr>
          <w:rFonts w:ascii="Verdana" w:hAnsi="Verdana" w:cs="Times New Roman"/>
          <w:sz w:val="22"/>
          <w:szCs w:val="22"/>
        </w:rPr>
        <w:lastRenderedPageBreak/>
        <w:t>discuss to keep the employee updated, and which may not, whether regular visits to the workplace may be helpful and invitations to team social events, training etc.  This is particularly relevant for long term absences and mental health problems where continued absence from the workplace can be isolating and impact on the employee’s ability and confidence to return.  All contact must be reasonable and sensitive.</w:t>
      </w:r>
      <w:r w:rsidR="008506C0">
        <w:rPr>
          <w:rFonts w:ascii="Verdana" w:hAnsi="Verdana" w:cs="Times New Roman"/>
          <w:sz w:val="22"/>
          <w:szCs w:val="22"/>
        </w:rPr>
        <w:br/>
      </w:r>
    </w:p>
    <w:p w14:paraId="33390B87" w14:textId="77777777" w:rsidR="007C41EC" w:rsidRPr="008506C0" w:rsidRDefault="000857A5" w:rsidP="00BB1A5A">
      <w:pPr>
        <w:pStyle w:val="ListParagraph"/>
        <w:numPr>
          <w:ilvl w:val="1"/>
          <w:numId w:val="12"/>
        </w:numPr>
        <w:spacing w:before="0" w:beforeAutospacing="1" w:after="0" w:afterAutospacing="1" w:line="240" w:lineRule="auto"/>
        <w:ind w:left="720"/>
        <w:jc w:val="left"/>
        <w:rPr>
          <w:rFonts w:ascii="Verdana" w:hAnsi="Verdana" w:cs="Times New Roman"/>
          <w:sz w:val="22"/>
          <w:szCs w:val="22"/>
        </w:rPr>
      </w:pPr>
      <w:r w:rsidRPr="008506C0">
        <w:rPr>
          <w:rFonts w:ascii="Verdana" w:hAnsi="Verdana" w:cs="Times New Roman"/>
          <w:sz w:val="22"/>
          <w:szCs w:val="22"/>
        </w:rPr>
        <w:t>In addition, while every effort will be made to cover workloads during absence,</w:t>
      </w:r>
      <w:r w:rsidR="00473B96" w:rsidRPr="008506C0">
        <w:rPr>
          <w:rFonts w:ascii="Verdana" w:hAnsi="Verdana" w:cs="Times New Roman"/>
          <w:sz w:val="22"/>
          <w:szCs w:val="22"/>
        </w:rPr>
        <w:br/>
      </w:r>
      <w:r w:rsidRPr="008506C0">
        <w:rPr>
          <w:rFonts w:ascii="Verdana" w:hAnsi="Verdana" w:cs="Times New Roman"/>
          <w:sz w:val="22"/>
          <w:szCs w:val="22"/>
        </w:rPr>
        <w:t>managers may have to contact employees regarding essential work-related</w:t>
      </w:r>
      <w:r w:rsidR="00473B96" w:rsidRPr="008506C0">
        <w:rPr>
          <w:rFonts w:ascii="Verdana" w:hAnsi="Verdana" w:cs="Times New Roman"/>
          <w:sz w:val="22"/>
          <w:szCs w:val="22"/>
        </w:rPr>
        <w:t xml:space="preserve"> queries </w:t>
      </w:r>
      <w:r w:rsidRPr="008506C0">
        <w:rPr>
          <w:rFonts w:ascii="Verdana" w:hAnsi="Verdana" w:cs="Times New Roman"/>
          <w:sz w:val="22"/>
          <w:szCs w:val="22"/>
        </w:rPr>
        <w:t xml:space="preserve">which cannot otherwise be delegated. </w:t>
      </w:r>
      <w:r w:rsidR="008506C0">
        <w:rPr>
          <w:rFonts w:ascii="Verdana" w:hAnsi="Verdana" w:cs="Times New Roman"/>
          <w:sz w:val="22"/>
          <w:szCs w:val="22"/>
        </w:rPr>
        <w:br/>
      </w:r>
    </w:p>
    <w:p w14:paraId="2E7C0D84" w14:textId="77777777" w:rsidR="00692A45" w:rsidRPr="008506C0" w:rsidRDefault="00692A45" w:rsidP="00BB1A5A">
      <w:pPr>
        <w:pStyle w:val="Heading1"/>
      </w:pPr>
      <w:r w:rsidRPr="008506C0">
        <w:t>Disability, impairment, mental or physical health condition</w:t>
      </w:r>
      <w:r w:rsidRPr="008506C0">
        <w:br/>
      </w:r>
    </w:p>
    <w:p w14:paraId="681F41C4" w14:textId="77777777" w:rsidR="008506C0" w:rsidRPr="008506C0" w:rsidRDefault="00692A45" w:rsidP="00BB1A5A">
      <w:pPr>
        <w:pStyle w:val="ListParagraph"/>
        <w:numPr>
          <w:ilvl w:val="1"/>
          <w:numId w:val="12"/>
        </w:numPr>
        <w:spacing w:before="0" w:after="0" w:line="240" w:lineRule="auto"/>
        <w:ind w:left="709"/>
        <w:jc w:val="left"/>
        <w:rPr>
          <w:rFonts w:ascii="Verdana" w:hAnsi="Verdana" w:cs="Times New Roman"/>
          <w:sz w:val="22"/>
          <w:szCs w:val="22"/>
          <w:lang w:eastAsia="en-US"/>
        </w:rPr>
      </w:pPr>
      <w:r w:rsidRPr="008506C0">
        <w:rPr>
          <w:rFonts w:ascii="Verdana" w:hAnsi="Verdana" w:cs="Times New Roman"/>
          <w:sz w:val="22"/>
          <w:szCs w:val="22"/>
          <w:lang w:eastAsia="en-US"/>
        </w:rPr>
        <w:t>Managers may make appropriate reasonable adjustments to the procedure and arrangements to ensure that a disability, impairment, mental or physical health condition are not a barrier to fair access and the application of this policy and procedure.</w:t>
      </w:r>
      <w:r w:rsidR="00B25919" w:rsidRPr="008506C0">
        <w:rPr>
          <w:rFonts w:ascii="Verdana" w:hAnsi="Verdana" w:cs="Times New Roman"/>
          <w:sz w:val="22"/>
          <w:szCs w:val="22"/>
          <w:lang w:eastAsia="en-US"/>
        </w:rPr>
        <w:t xml:space="preserve"> For example, discounting an amount of disability related absence from the trigger points.</w:t>
      </w:r>
      <w:r w:rsidR="007906FD" w:rsidRPr="008506C0">
        <w:rPr>
          <w:rFonts w:ascii="Verdana" w:hAnsi="Verdana" w:cs="Times New Roman"/>
          <w:sz w:val="22"/>
          <w:szCs w:val="22"/>
          <w:lang w:eastAsia="en-US"/>
        </w:rPr>
        <w:t xml:space="preserve"> </w:t>
      </w:r>
      <w:r w:rsidR="00D51E6D" w:rsidRPr="008506C0">
        <w:rPr>
          <w:rFonts w:ascii="Verdana" w:hAnsi="Verdana" w:cs="Times New Roman"/>
          <w:sz w:val="22"/>
          <w:szCs w:val="22"/>
          <w:lang w:eastAsia="en-US"/>
        </w:rPr>
        <w:t xml:space="preserve">However, </w:t>
      </w:r>
      <w:r w:rsidR="00CD068A" w:rsidRPr="008506C0">
        <w:rPr>
          <w:rFonts w:ascii="Verdana" w:hAnsi="Verdana" w:cs="Times New Roman"/>
          <w:sz w:val="22"/>
          <w:szCs w:val="22"/>
          <w:lang w:eastAsia="en-US"/>
        </w:rPr>
        <w:t>M</w:t>
      </w:r>
      <w:r w:rsidR="007906FD" w:rsidRPr="008506C0">
        <w:rPr>
          <w:rFonts w:ascii="Verdana" w:hAnsi="Verdana" w:cs="Times New Roman"/>
          <w:sz w:val="22"/>
          <w:szCs w:val="22"/>
          <w:lang w:eastAsia="en-US"/>
        </w:rPr>
        <w:t xml:space="preserve">anagers will continue to </w:t>
      </w:r>
      <w:r w:rsidR="00A32765" w:rsidRPr="008506C0">
        <w:rPr>
          <w:rFonts w:ascii="Verdana" w:hAnsi="Verdana" w:cs="Times New Roman"/>
          <w:sz w:val="22"/>
          <w:szCs w:val="22"/>
          <w:lang w:eastAsia="en-US"/>
        </w:rPr>
        <w:t xml:space="preserve">manage sickness absence, </w:t>
      </w:r>
      <w:r w:rsidR="007906FD" w:rsidRPr="008506C0">
        <w:rPr>
          <w:rFonts w:ascii="Verdana" w:hAnsi="Verdana" w:cs="Times New Roman"/>
          <w:sz w:val="22"/>
          <w:szCs w:val="22"/>
          <w:lang w:eastAsia="en-US"/>
        </w:rPr>
        <w:t>monitor such absence levels and may review reasonable adjustments/support arrangements to ensure that they are still appropriate.</w:t>
      </w:r>
      <w:r w:rsidR="00755156" w:rsidRPr="008506C0">
        <w:rPr>
          <w:rFonts w:ascii="Verdana" w:hAnsi="Verdana" w:cs="Times New Roman"/>
          <w:sz w:val="22"/>
          <w:szCs w:val="22"/>
          <w:lang w:eastAsia="en-US"/>
        </w:rPr>
        <w:t xml:space="preserve"> Managers dealing with disability related </w:t>
      </w:r>
      <w:r w:rsidR="00D51E6D" w:rsidRPr="008506C0">
        <w:rPr>
          <w:rFonts w:ascii="Verdana" w:hAnsi="Verdana" w:cs="Times New Roman"/>
          <w:sz w:val="22"/>
          <w:szCs w:val="22"/>
          <w:lang w:eastAsia="en-US"/>
        </w:rPr>
        <w:t xml:space="preserve">sickness absence </w:t>
      </w:r>
      <w:r w:rsidR="00755156" w:rsidRPr="008506C0">
        <w:rPr>
          <w:rFonts w:ascii="Verdana" w:hAnsi="Verdana" w:cs="Times New Roman"/>
          <w:sz w:val="22"/>
          <w:szCs w:val="22"/>
          <w:lang w:eastAsia="en-US"/>
        </w:rPr>
        <w:t>should seek advice from their Local People Team before taking action.</w:t>
      </w:r>
      <w:r w:rsidR="008506C0" w:rsidRPr="008506C0">
        <w:rPr>
          <w:rFonts w:ascii="Verdana" w:hAnsi="Verdana" w:cs="Times New Roman"/>
          <w:sz w:val="22"/>
          <w:szCs w:val="22"/>
          <w:lang w:eastAsia="en-US"/>
        </w:rPr>
        <w:br/>
      </w:r>
    </w:p>
    <w:p w14:paraId="122ADA9E" w14:textId="77777777" w:rsidR="008506C0" w:rsidRPr="008506C0" w:rsidRDefault="00692A45" w:rsidP="00BB1A5A">
      <w:pPr>
        <w:pStyle w:val="ListParagraph"/>
        <w:numPr>
          <w:ilvl w:val="1"/>
          <w:numId w:val="12"/>
        </w:numPr>
        <w:spacing w:before="0" w:after="0" w:line="240" w:lineRule="auto"/>
        <w:ind w:left="709"/>
        <w:jc w:val="left"/>
        <w:rPr>
          <w:rFonts w:ascii="Verdana" w:hAnsi="Verdana"/>
          <w:sz w:val="22"/>
          <w:szCs w:val="22"/>
          <w:lang w:eastAsia="en-US"/>
        </w:rPr>
      </w:pPr>
      <w:r w:rsidRPr="008506C0">
        <w:rPr>
          <w:rFonts w:ascii="Verdana" w:hAnsi="Verdana" w:cs="Times New Roman"/>
          <w:sz w:val="22"/>
          <w:szCs w:val="22"/>
          <w:lang w:eastAsia="en-US"/>
        </w:rPr>
        <w:t xml:space="preserve">To help support the health, safety and wellbeing of a worker, an individual </w:t>
      </w:r>
      <w:r w:rsidR="00F03907" w:rsidRPr="008506C0">
        <w:rPr>
          <w:rFonts w:ascii="Verdana" w:hAnsi="Verdana" w:cs="Times New Roman"/>
          <w:sz w:val="22"/>
          <w:szCs w:val="22"/>
          <w:lang w:eastAsia="en-US"/>
        </w:rPr>
        <w:t xml:space="preserve">‘Accessibility Passport’ </w:t>
      </w:r>
      <w:r w:rsidRPr="008506C0">
        <w:rPr>
          <w:rFonts w:ascii="Verdana" w:hAnsi="Verdana" w:cs="Times New Roman"/>
          <w:sz w:val="22"/>
          <w:szCs w:val="22"/>
          <w:lang w:eastAsia="en-US"/>
        </w:rPr>
        <w:t>should be completed by the manager at the point a disability,</w:t>
      </w:r>
      <w:r w:rsidR="000F3AC8" w:rsidRPr="008506C0">
        <w:rPr>
          <w:rFonts w:ascii="Verdana" w:hAnsi="Verdana" w:cs="Times New Roman"/>
          <w:sz w:val="22"/>
          <w:szCs w:val="22"/>
          <w:lang w:eastAsia="en-US"/>
        </w:rPr>
        <w:t xml:space="preserve"> </w:t>
      </w:r>
      <w:r w:rsidRPr="008506C0">
        <w:rPr>
          <w:rFonts w:ascii="Verdana" w:hAnsi="Verdana" w:cs="Times New Roman"/>
          <w:sz w:val="22"/>
          <w:szCs w:val="22"/>
          <w:lang w:eastAsia="en-US"/>
        </w:rPr>
        <w:t>impairment, mental or physical health con</w:t>
      </w:r>
      <w:r w:rsidR="00764DB1" w:rsidRPr="008506C0">
        <w:rPr>
          <w:rFonts w:ascii="Verdana" w:hAnsi="Verdana" w:cs="Times New Roman"/>
          <w:sz w:val="22"/>
          <w:szCs w:val="22"/>
          <w:lang w:eastAsia="en-US"/>
        </w:rPr>
        <w:t xml:space="preserve">dition </w:t>
      </w:r>
      <w:r w:rsidRPr="008506C0">
        <w:rPr>
          <w:rFonts w:ascii="Verdana" w:hAnsi="Verdana" w:cs="Times New Roman"/>
          <w:sz w:val="22"/>
          <w:szCs w:val="22"/>
          <w:lang w:eastAsia="en-US"/>
        </w:rPr>
        <w:t xml:space="preserve">is </w:t>
      </w:r>
      <w:r w:rsidR="000F3AC8" w:rsidRPr="008506C0">
        <w:rPr>
          <w:rFonts w:ascii="Verdana" w:hAnsi="Verdana" w:cs="Times New Roman"/>
          <w:sz w:val="22"/>
          <w:szCs w:val="22"/>
          <w:lang w:eastAsia="en-US"/>
        </w:rPr>
        <w:t>identified</w:t>
      </w:r>
      <w:r w:rsidRPr="008506C0">
        <w:rPr>
          <w:rFonts w:ascii="Verdana" w:hAnsi="Verdana" w:cs="Times New Roman"/>
          <w:sz w:val="22"/>
          <w:szCs w:val="22"/>
          <w:lang w:eastAsia="en-US"/>
        </w:rPr>
        <w:t xml:space="preserve">, or as soon as there are changes in circumstances that might affect the existing form’s validity. </w:t>
      </w:r>
      <w:r w:rsidR="008506C0">
        <w:rPr>
          <w:rFonts w:ascii="Verdana" w:hAnsi="Verdana" w:cs="Times New Roman"/>
          <w:sz w:val="22"/>
          <w:szCs w:val="22"/>
          <w:lang w:eastAsia="en-US"/>
        </w:rPr>
        <w:br/>
      </w:r>
    </w:p>
    <w:p w14:paraId="11118DC8" w14:textId="59D4C6C5" w:rsidR="007C41EC" w:rsidRPr="00BB1A5A" w:rsidRDefault="00692A45" w:rsidP="00BB1A5A">
      <w:pPr>
        <w:pStyle w:val="ListParagraph"/>
        <w:numPr>
          <w:ilvl w:val="1"/>
          <w:numId w:val="12"/>
        </w:numPr>
        <w:spacing w:before="0" w:after="0" w:line="240" w:lineRule="auto"/>
        <w:ind w:left="709"/>
        <w:jc w:val="left"/>
        <w:rPr>
          <w:rFonts w:ascii="Verdana" w:hAnsi="Verdana" w:cs="Times New Roman"/>
          <w:sz w:val="22"/>
          <w:szCs w:val="22"/>
          <w:lang w:eastAsia="en-US"/>
        </w:rPr>
      </w:pPr>
      <w:r w:rsidRPr="00BB1A5A">
        <w:rPr>
          <w:rFonts w:ascii="Verdana" w:hAnsi="Verdana" w:cs="Times New Roman"/>
          <w:sz w:val="22"/>
          <w:szCs w:val="22"/>
          <w:lang w:eastAsia="en-US"/>
        </w:rPr>
        <w:t>Detailed guidance on disability, impairment, mental or physical health condition</w:t>
      </w:r>
      <w:r w:rsidR="00D1295E" w:rsidRPr="00BB1A5A">
        <w:rPr>
          <w:rFonts w:ascii="Verdana" w:hAnsi="Verdana" w:cs="Times New Roman"/>
          <w:sz w:val="22"/>
          <w:szCs w:val="22"/>
          <w:lang w:eastAsia="en-US"/>
        </w:rPr>
        <w:t xml:space="preserve">s including guidance on reasonable </w:t>
      </w:r>
      <w:r w:rsidR="00764DB1" w:rsidRPr="00BB1A5A">
        <w:rPr>
          <w:rFonts w:ascii="Verdana" w:hAnsi="Verdana" w:cs="Times New Roman"/>
          <w:sz w:val="22"/>
          <w:szCs w:val="22"/>
          <w:lang w:eastAsia="en-US"/>
        </w:rPr>
        <w:t>adjustments</w:t>
      </w:r>
      <w:r w:rsidR="00D1295E" w:rsidRPr="00BB1A5A">
        <w:rPr>
          <w:rFonts w:ascii="Verdana" w:hAnsi="Verdana" w:cs="Times New Roman"/>
          <w:sz w:val="22"/>
          <w:szCs w:val="22"/>
          <w:lang w:eastAsia="en-US"/>
        </w:rPr>
        <w:t xml:space="preserve"> and Access to Work</w:t>
      </w:r>
      <w:r w:rsidRPr="00BB1A5A">
        <w:rPr>
          <w:rFonts w:ascii="Verdana" w:hAnsi="Verdana" w:cs="Times New Roman"/>
          <w:sz w:val="22"/>
          <w:szCs w:val="22"/>
          <w:lang w:eastAsia="en-US"/>
        </w:rPr>
        <w:t xml:space="preserve"> is available on </w:t>
      </w:r>
      <w:r w:rsidR="00612A9A">
        <w:rPr>
          <w:rFonts w:ascii="Verdana" w:hAnsi="Verdana" w:cs="Times New Roman"/>
          <w:sz w:val="22"/>
          <w:szCs w:val="22"/>
          <w:lang w:eastAsia="en-US"/>
        </w:rPr>
        <w:t>Inside.Barnardo’s</w:t>
      </w:r>
      <w:r w:rsidR="00D1295E" w:rsidRPr="00BB1A5A">
        <w:rPr>
          <w:rFonts w:ascii="Verdana" w:hAnsi="Verdana" w:cs="Times New Roman"/>
          <w:sz w:val="22"/>
          <w:szCs w:val="22"/>
          <w:lang w:eastAsia="en-US"/>
        </w:rPr>
        <w:t xml:space="preserve">. </w:t>
      </w:r>
      <w:r w:rsidR="00F03907" w:rsidRPr="00BB1A5A">
        <w:rPr>
          <w:rFonts w:ascii="Verdana" w:hAnsi="Verdana" w:cs="Times New Roman"/>
          <w:sz w:val="22"/>
          <w:szCs w:val="22"/>
          <w:lang w:eastAsia="en-US"/>
        </w:rPr>
        <w:t>A template Accessibility Passport is also available, as well as ‘Wellness Action Plans’ (WAPs) which can be used as a further resource to monitor and manage an individual’s mental health</w:t>
      </w:r>
      <w:r w:rsidRPr="00BB1A5A">
        <w:rPr>
          <w:rFonts w:ascii="Verdana" w:hAnsi="Verdana" w:cs="Times New Roman"/>
          <w:sz w:val="22"/>
          <w:szCs w:val="22"/>
          <w:lang w:eastAsia="en-US"/>
        </w:rPr>
        <w:t>.</w:t>
      </w:r>
      <w:r w:rsidR="00BB1A5A">
        <w:rPr>
          <w:rFonts w:ascii="Verdana" w:hAnsi="Verdana" w:cs="Times New Roman"/>
          <w:sz w:val="22"/>
          <w:szCs w:val="22"/>
          <w:lang w:eastAsia="en-US"/>
        </w:rPr>
        <w:br/>
      </w:r>
    </w:p>
    <w:p w14:paraId="6978F5D7" w14:textId="77777777" w:rsidR="00E54792" w:rsidRPr="001735FB" w:rsidRDefault="00E54792" w:rsidP="00BB1A5A">
      <w:pPr>
        <w:pStyle w:val="Heading1"/>
      </w:pPr>
      <w:r>
        <w:t xml:space="preserve">Use of </w:t>
      </w:r>
      <w:r w:rsidRPr="001735FB">
        <w:t>Personal Data</w:t>
      </w:r>
      <w:r>
        <w:t xml:space="preserve"> and Data Protection </w:t>
      </w:r>
      <w:r w:rsidR="008506C0">
        <w:br/>
      </w:r>
    </w:p>
    <w:p w14:paraId="607C1E2F" w14:textId="77777777" w:rsidR="00E54792" w:rsidRPr="008506C0" w:rsidRDefault="00E54792" w:rsidP="00BB1A5A">
      <w:pPr>
        <w:pStyle w:val="ListParagraph"/>
        <w:numPr>
          <w:ilvl w:val="1"/>
          <w:numId w:val="12"/>
        </w:numPr>
        <w:spacing w:before="0" w:after="0" w:line="240" w:lineRule="auto"/>
        <w:ind w:left="709"/>
        <w:jc w:val="left"/>
        <w:rPr>
          <w:rFonts w:ascii="Verdana" w:hAnsi="Verdana" w:cs="Times New Roman"/>
          <w:sz w:val="22"/>
          <w:szCs w:val="22"/>
        </w:rPr>
      </w:pPr>
      <w:r w:rsidRPr="008506C0">
        <w:rPr>
          <w:rFonts w:ascii="Verdana" w:hAnsi="Verdana" w:cs="Times New Roman"/>
          <w:sz w:val="22"/>
          <w:szCs w:val="22"/>
          <w:lang w:eastAsia="en-US"/>
        </w:rPr>
        <w:t>All information relating to staff health or absence is regarded as sensitive data and MUST be held confidentially.</w:t>
      </w:r>
      <w:r w:rsidR="008506C0">
        <w:rPr>
          <w:rFonts w:ascii="Verdana" w:hAnsi="Verdana" w:cs="Times New Roman"/>
          <w:sz w:val="22"/>
          <w:szCs w:val="22"/>
        </w:rPr>
        <w:br/>
      </w:r>
    </w:p>
    <w:p w14:paraId="149ECC31" w14:textId="77777777" w:rsidR="00E54792" w:rsidRPr="001735FB" w:rsidRDefault="00E54792" w:rsidP="00BB1A5A">
      <w:pPr>
        <w:pStyle w:val="Heading1"/>
      </w:pPr>
      <w:r>
        <w:t>M</w:t>
      </w:r>
      <w:r w:rsidRPr="001735FB">
        <w:t>edical reports and use of Occupational Health</w:t>
      </w:r>
      <w:r w:rsidR="008506C0">
        <w:br/>
      </w:r>
    </w:p>
    <w:p w14:paraId="2B0C227C" w14:textId="77777777" w:rsidR="008506C0" w:rsidRDefault="00E54792"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In some cases it may be helpful to gather further information about an employee’s medical conditions.  This will normally include requesting a report from a GP or Consultant (which may be done via the Occupational Health provider, particularly in respect of long term sickness).  Permission will always be sought before requesting any reports and employees can request copies of these.</w:t>
      </w:r>
      <w:r w:rsidR="008506C0">
        <w:rPr>
          <w:rFonts w:ascii="Verdana" w:hAnsi="Verdana" w:cs="Times New Roman"/>
          <w:sz w:val="22"/>
          <w:szCs w:val="22"/>
        </w:rPr>
        <w:br/>
      </w:r>
    </w:p>
    <w:p w14:paraId="0B93A8BF" w14:textId="77777777" w:rsidR="008506C0" w:rsidRDefault="00E54792"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Any medical reports obtained will be used positively to assist return to work at the</w:t>
      </w:r>
      <w:r w:rsidRPr="008506C0">
        <w:rPr>
          <w:rFonts w:ascii="Verdana" w:hAnsi="Verdana" w:cs="Times New Roman"/>
          <w:sz w:val="22"/>
          <w:szCs w:val="22"/>
        </w:rPr>
        <w:br/>
        <w:t>appropriate time.  They can provide an opinion on the likelihood of further</w:t>
      </w:r>
      <w:r w:rsidRPr="008506C0">
        <w:rPr>
          <w:rFonts w:ascii="Verdana" w:hAnsi="Verdana" w:cs="Times New Roman"/>
          <w:sz w:val="22"/>
          <w:szCs w:val="22"/>
        </w:rPr>
        <w:br/>
        <w:t>absences and guidance on whether reasonable adjustments to jobs, working</w:t>
      </w:r>
      <w:r w:rsidRPr="008506C0">
        <w:rPr>
          <w:rFonts w:ascii="Verdana" w:hAnsi="Verdana" w:cs="Times New Roman"/>
          <w:sz w:val="22"/>
          <w:szCs w:val="22"/>
        </w:rPr>
        <w:br/>
      </w:r>
      <w:r w:rsidRPr="008506C0">
        <w:rPr>
          <w:rFonts w:ascii="Verdana" w:hAnsi="Verdana" w:cs="Times New Roman"/>
          <w:sz w:val="22"/>
          <w:szCs w:val="22"/>
        </w:rPr>
        <w:lastRenderedPageBreak/>
        <w:t>environment or patterns would be helpful.  This is essential when ill-health</w:t>
      </w:r>
      <w:r w:rsidRPr="008506C0">
        <w:rPr>
          <w:rFonts w:ascii="Verdana" w:hAnsi="Verdana" w:cs="Times New Roman"/>
          <w:sz w:val="22"/>
          <w:szCs w:val="22"/>
        </w:rPr>
        <w:br/>
        <w:t>retirement is being considered and may also identify any underlying conditions at</w:t>
      </w:r>
      <w:r w:rsidRPr="008506C0">
        <w:rPr>
          <w:rFonts w:ascii="Verdana" w:hAnsi="Verdana" w:cs="Times New Roman"/>
          <w:sz w:val="22"/>
          <w:szCs w:val="22"/>
        </w:rPr>
        <w:br/>
        <w:t>the root of unconnected frequent short-term absence.</w:t>
      </w:r>
      <w:r w:rsidR="008506C0">
        <w:rPr>
          <w:rFonts w:ascii="Verdana" w:hAnsi="Verdana" w:cs="Times New Roman"/>
          <w:sz w:val="22"/>
          <w:szCs w:val="22"/>
        </w:rPr>
        <w:br/>
      </w:r>
    </w:p>
    <w:p w14:paraId="3ABD559E" w14:textId="77777777" w:rsidR="008506C0" w:rsidRDefault="00E54792"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When referred, employees should expect to attend appointments with the</w:t>
      </w:r>
      <w:r w:rsidRPr="008506C0">
        <w:rPr>
          <w:rFonts w:ascii="Verdana" w:hAnsi="Verdana" w:cs="Times New Roman"/>
          <w:sz w:val="22"/>
          <w:szCs w:val="22"/>
        </w:rPr>
        <w:br/>
        <w:t>Occupational Health provider.  If an employee refuses to attend an appointment,</w:t>
      </w:r>
      <w:r w:rsidRPr="008506C0">
        <w:rPr>
          <w:rFonts w:ascii="Verdana" w:hAnsi="Verdana" w:cs="Times New Roman"/>
          <w:sz w:val="22"/>
          <w:szCs w:val="22"/>
        </w:rPr>
        <w:br/>
        <w:t>this may limit the information available when deciding upon future capability for</w:t>
      </w:r>
      <w:r w:rsidRPr="008506C0">
        <w:rPr>
          <w:rFonts w:ascii="Verdana" w:hAnsi="Verdana" w:cs="Times New Roman"/>
          <w:sz w:val="22"/>
          <w:szCs w:val="22"/>
        </w:rPr>
        <w:br/>
        <w:t>work.</w:t>
      </w:r>
      <w:r w:rsidR="008506C0">
        <w:rPr>
          <w:rFonts w:ascii="Verdana" w:hAnsi="Verdana" w:cs="Times New Roman"/>
          <w:sz w:val="22"/>
          <w:szCs w:val="22"/>
        </w:rPr>
        <w:br/>
      </w:r>
    </w:p>
    <w:p w14:paraId="0C8A6B03" w14:textId="77777777" w:rsidR="008506C0" w:rsidRDefault="00E54792"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 xml:space="preserve">If an employee has agreed to attend a meeting with Occupational Health but fails to attend without giving the required cancellation time, they may be required to reimburse their service/department/store for the cost incurred and a deduction via payroll can be made for this cost. </w:t>
      </w:r>
      <w:r w:rsidR="008506C0">
        <w:rPr>
          <w:rFonts w:ascii="Verdana" w:hAnsi="Verdana" w:cs="Times New Roman"/>
          <w:sz w:val="22"/>
          <w:szCs w:val="22"/>
        </w:rPr>
        <w:br/>
      </w:r>
    </w:p>
    <w:p w14:paraId="3538190C" w14:textId="77777777" w:rsidR="007C41EC" w:rsidRPr="008506C0" w:rsidRDefault="00E54792"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Should an employee disagree with a report from the Barnardo’s Occupational</w:t>
      </w:r>
      <w:r w:rsidR="00E22FCE" w:rsidRPr="008506C0">
        <w:rPr>
          <w:rFonts w:ascii="Verdana" w:hAnsi="Verdana" w:cs="Times New Roman"/>
          <w:sz w:val="22"/>
          <w:szCs w:val="22"/>
        </w:rPr>
        <w:br/>
      </w:r>
      <w:r w:rsidRPr="008506C0">
        <w:rPr>
          <w:rFonts w:ascii="Verdana" w:hAnsi="Verdana" w:cs="Times New Roman"/>
          <w:sz w:val="22"/>
          <w:szCs w:val="22"/>
        </w:rPr>
        <w:t>Health provider, they may wish to provide an alternative report at their own</w:t>
      </w:r>
      <w:r w:rsidR="00E22FCE" w:rsidRPr="008506C0">
        <w:rPr>
          <w:rFonts w:ascii="Verdana" w:hAnsi="Verdana" w:cs="Times New Roman"/>
          <w:sz w:val="22"/>
          <w:szCs w:val="22"/>
        </w:rPr>
        <w:br/>
      </w:r>
      <w:r w:rsidRPr="008506C0">
        <w:rPr>
          <w:rFonts w:ascii="Verdana" w:hAnsi="Verdana" w:cs="Times New Roman"/>
          <w:sz w:val="22"/>
          <w:szCs w:val="22"/>
        </w:rPr>
        <w:t>expense.  This report will be duly considered, however, Barnardo’s reserves the</w:t>
      </w:r>
      <w:r w:rsidR="00E22FCE" w:rsidRPr="008506C0">
        <w:rPr>
          <w:rFonts w:ascii="Verdana" w:hAnsi="Verdana" w:cs="Times New Roman"/>
          <w:sz w:val="22"/>
          <w:szCs w:val="22"/>
        </w:rPr>
        <w:br/>
      </w:r>
      <w:r w:rsidRPr="008506C0">
        <w:rPr>
          <w:rFonts w:ascii="Verdana" w:hAnsi="Verdana" w:cs="Times New Roman"/>
          <w:sz w:val="22"/>
          <w:szCs w:val="22"/>
        </w:rPr>
        <w:t>right to rely upon information provided by its Occupational Health provider.</w:t>
      </w:r>
      <w:r w:rsidR="008506C0">
        <w:rPr>
          <w:rFonts w:ascii="Verdana" w:hAnsi="Verdana" w:cs="Times New Roman"/>
          <w:sz w:val="22"/>
          <w:szCs w:val="22"/>
        </w:rPr>
        <w:br/>
      </w:r>
    </w:p>
    <w:p w14:paraId="4425BBB9" w14:textId="77777777" w:rsidR="008506C0" w:rsidRPr="00BB1A5A" w:rsidRDefault="00E54792" w:rsidP="00BB1A5A">
      <w:pPr>
        <w:pStyle w:val="Heading1"/>
      </w:pPr>
      <w:r w:rsidRPr="00BB1A5A">
        <w:t xml:space="preserve">Procedures for </w:t>
      </w:r>
      <w:r w:rsidR="009D06AF" w:rsidRPr="00BB1A5A">
        <w:t>M</w:t>
      </w:r>
      <w:r w:rsidRPr="00BB1A5A">
        <w:t xml:space="preserve">anaging </w:t>
      </w:r>
      <w:r w:rsidR="009D06AF" w:rsidRPr="00BB1A5A">
        <w:t xml:space="preserve">Sickness Absence </w:t>
      </w:r>
      <w:r w:rsidR="008506C0" w:rsidRPr="00BB1A5A">
        <w:br/>
      </w:r>
      <w:r w:rsidR="00BB1A5A">
        <w:br/>
      </w:r>
      <w:r w:rsidR="008506C0" w:rsidRPr="00BB1A5A">
        <w:t>Accompaniment</w:t>
      </w:r>
      <w:r w:rsidR="008506C0" w:rsidRPr="00BB1A5A">
        <w:br/>
      </w:r>
    </w:p>
    <w:p w14:paraId="769F844A" w14:textId="77777777" w:rsidR="008506C0" w:rsidRDefault="009D06AF"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Employees are entitled to request to be accompanied at formal meetings held under this procedure. A companion may normally be a UNISON/other trade union representative or a Barnardo’s colleague.  To exercise the right of accompaniment, employees should make a reasonable request in good time before the meeting.  What is reasonable will depend on the circumstances of each individual case and will be considered by the manager.</w:t>
      </w:r>
      <w:r w:rsidR="000B3EB9" w:rsidRPr="008506C0">
        <w:rPr>
          <w:rFonts w:ascii="Verdana" w:hAnsi="Verdana" w:cs="Times New Roman"/>
          <w:sz w:val="22"/>
          <w:szCs w:val="22"/>
        </w:rPr>
        <w:t xml:space="preserve"> For further details</w:t>
      </w:r>
      <w:r w:rsidR="005E5A96" w:rsidRPr="008506C0">
        <w:rPr>
          <w:rFonts w:ascii="Verdana" w:hAnsi="Verdana" w:cs="Times New Roman"/>
          <w:sz w:val="22"/>
          <w:szCs w:val="22"/>
        </w:rPr>
        <w:t>,</w:t>
      </w:r>
      <w:r w:rsidR="000B3EB9" w:rsidRPr="008506C0">
        <w:rPr>
          <w:rFonts w:ascii="Verdana" w:hAnsi="Verdana" w:cs="Times New Roman"/>
          <w:sz w:val="22"/>
          <w:szCs w:val="22"/>
        </w:rPr>
        <w:t xml:space="preserve"> please see the additional information sheet on Accompaniment</w:t>
      </w:r>
      <w:r w:rsidR="005E5A96" w:rsidRPr="008506C0">
        <w:rPr>
          <w:rFonts w:ascii="Verdana" w:hAnsi="Verdana" w:cs="Times New Roman"/>
          <w:sz w:val="22"/>
          <w:szCs w:val="22"/>
        </w:rPr>
        <w:t>.</w:t>
      </w:r>
      <w:r w:rsidR="00B6536E" w:rsidRPr="008506C0">
        <w:rPr>
          <w:rFonts w:ascii="Verdana" w:hAnsi="Verdana" w:cs="Times New Roman"/>
          <w:sz w:val="22"/>
          <w:szCs w:val="22"/>
        </w:rPr>
        <w:t xml:space="preserve"> </w:t>
      </w:r>
      <w:r w:rsidR="008506C0">
        <w:rPr>
          <w:rFonts w:ascii="Verdana" w:hAnsi="Verdana" w:cs="Times New Roman"/>
          <w:sz w:val="22"/>
          <w:szCs w:val="22"/>
        </w:rPr>
        <w:br/>
      </w:r>
    </w:p>
    <w:p w14:paraId="60A31426" w14:textId="77777777" w:rsidR="00BB1A5A" w:rsidRPr="00BB1A5A" w:rsidRDefault="009D06AF" w:rsidP="00BB1A5A">
      <w:pPr>
        <w:pStyle w:val="ListParagraph"/>
        <w:numPr>
          <w:ilvl w:val="1"/>
          <w:numId w:val="12"/>
        </w:numPr>
        <w:spacing w:before="100" w:beforeAutospacing="1" w:after="100" w:afterAutospacing="1" w:line="240" w:lineRule="auto"/>
        <w:ind w:left="709"/>
        <w:jc w:val="left"/>
        <w:rPr>
          <w:rFonts w:ascii="Verdana" w:hAnsi="Verdana" w:cs="Times New Roman"/>
          <w:bCs/>
          <w:sz w:val="22"/>
          <w:szCs w:val="22"/>
          <w:lang w:eastAsia="en-US"/>
        </w:rPr>
      </w:pPr>
      <w:r w:rsidRPr="00BB1A5A">
        <w:rPr>
          <w:rFonts w:ascii="Verdana" w:hAnsi="Verdana" w:cs="Times New Roman"/>
          <w:sz w:val="22"/>
          <w:szCs w:val="22"/>
        </w:rPr>
        <w:t>In exceptional cases, such as home visits or case of prolonged absence, where the employee is no longer in contact with colleagues and is not a trade union member, it may be appropriate for the companion to be another person not listed above</w:t>
      </w:r>
      <w:r w:rsidR="005E5A96" w:rsidRPr="00BB1A5A">
        <w:rPr>
          <w:rFonts w:ascii="Verdana" w:hAnsi="Verdana" w:cs="Times New Roman"/>
          <w:sz w:val="22"/>
          <w:szCs w:val="22"/>
        </w:rPr>
        <w:t>. Such requests will be given due consideration by the manager</w:t>
      </w:r>
      <w:r w:rsidR="008506C0" w:rsidRPr="00BB1A5A">
        <w:rPr>
          <w:rFonts w:ascii="Verdana" w:hAnsi="Verdana" w:cs="Times New Roman"/>
          <w:sz w:val="22"/>
          <w:szCs w:val="22"/>
        </w:rPr>
        <w:t>.</w:t>
      </w:r>
      <w:r w:rsidR="000B3EB9" w:rsidRPr="00BB1A5A">
        <w:rPr>
          <w:rFonts w:ascii="Verdana" w:hAnsi="Verdana" w:cs="Times New Roman"/>
          <w:sz w:val="22"/>
          <w:szCs w:val="22"/>
        </w:rPr>
        <w:t xml:space="preserve"> </w:t>
      </w:r>
    </w:p>
    <w:p w14:paraId="6B48ED03" w14:textId="77777777" w:rsidR="008506C0" w:rsidRPr="00BB1A5A" w:rsidRDefault="008506C0" w:rsidP="00BB1A5A">
      <w:pPr>
        <w:spacing w:before="100" w:beforeAutospacing="1" w:after="100" w:afterAutospacing="1" w:line="240" w:lineRule="auto"/>
        <w:ind w:left="-11"/>
        <w:jc w:val="left"/>
        <w:rPr>
          <w:rFonts w:ascii="Verdana" w:hAnsi="Verdana" w:cs="Times New Roman"/>
          <w:b/>
          <w:bCs/>
          <w:sz w:val="22"/>
          <w:szCs w:val="22"/>
          <w:lang w:eastAsia="en-US"/>
        </w:rPr>
      </w:pPr>
      <w:r w:rsidRPr="00BB1A5A">
        <w:rPr>
          <w:rFonts w:ascii="Verdana" w:hAnsi="Verdana" w:cs="Times New Roman"/>
          <w:b/>
          <w:sz w:val="22"/>
          <w:szCs w:val="22"/>
          <w:lang w:eastAsia="en-US"/>
        </w:rPr>
        <w:t xml:space="preserve">Return to work discussion and </w:t>
      </w:r>
      <w:r w:rsidR="006A0881" w:rsidRPr="00BB1A5A">
        <w:rPr>
          <w:rFonts w:ascii="Verdana" w:hAnsi="Verdana" w:cs="Times New Roman"/>
          <w:b/>
          <w:sz w:val="22"/>
          <w:szCs w:val="22"/>
          <w:lang w:eastAsia="en-US"/>
        </w:rPr>
        <w:t xml:space="preserve">GP </w:t>
      </w:r>
      <w:r w:rsidRPr="00BB1A5A">
        <w:rPr>
          <w:rFonts w:ascii="Verdana" w:hAnsi="Verdana" w:cs="Times New Roman"/>
          <w:b/>
          <w:sz w:val="22"/>
          <w:szCs w:val="22"/>
          <w:lang w:eastAsia="en-US"/>
        </w:rPr>
        <w:t>Fit Notes</w:t>
      </w:r>
    </w:p>
    <w:p w14:paraId="67B98BEA" w14:textId="4BB91451" w:rsidR="008506C0" w:rsidRDefault="008506C0"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 xml:space="preserve">Manager holds return to work discussion with employee upon return from any sickness absence and enters the relevant information, including return date, on the appropriate absence record in </w:t>
      </w:r>
      <w:r w:rsidR="00BE67FB">
        <w:rPr>
          <w:rFonts w:ascii="Verdana" w:hAnsi="Verdana" w:cs="Times New Roman"/>
          <w:sz w:val="22"/>
          <w:szCs w:val="22"/>
        </w:rPr>
        <w:t>Dynamics D365</w:t>
      </w:r>
      <w:r w:rsidR="00622C06">
        <w:rPr>
          <w:rFonts w:ascii="Verdana" w:hAnsi="Verdana" w:cs="Times New Roman"/>
          <w:sz w:val="22"/>
          <w:szCs w:val="22"/>
        </w:rPr>
        <w:t xml:space="preserve"> – further guidance is available on </w:t>
      </w:r>
      <w:r w:rsidR="00BE67FB">
        <w:rPr>
          <w:rFonts w:ascii="Verdana" w:hAnsi="Verdana" w:cs="Times New Roman"/>
          <w:sz w:val="22"/>
          <w:szCs w:val="22"/>
        </w:rPr>
        <w:t>Inside.Barnardo’s</w:t>
      </w:r>
      <w:r w:rsidRPr="008506C0">
        <w:rPr>
          <w:rFonts w:ascii="Verdana" w:hAnsi="Verdana" w:cs="Times New Roman"/>
          <w:sz w:val="22"/>
          <w:szCs w:val="22"/>
        </w:rPr>
        <w:t xml:space="preserve">.  </w:t>
      </w:r>
      <w:r>
        <w:rPr>
          <w:rFonts w:ascii="Verdana" w:hAnsi="Verdana" w:cs="Times New Roman"/>
          <w:sz w:val="22"/>
          <w:szCs w:val="22"/>
        </w:rPr>
        <w:br/>
      </w:r>
    </w:p>
    <w:p w14:paraId="54398BB7" w14:textId="77777777" w:rsidR="008506C0" w:rsidRDefault="008506C0"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ab/>
        <w:t>The purpose of the discussion is to ensure fitness to return to work and to establish if any assistance or support is needed.  This should include consideration of the reason(s) for absence, in relation to the context of the job, and whether there are any implications for health, safety and welfare, food safety, or general infection control.</w:t>
      </w:r>
      <w:r>
        <w:rPr>
          <w:rFonts w:ascii="Verdana" w:hAnsi="Verdana" w:cs="Times New Roman"/>
          <w:sz w:val="22"/>
          <w:szCs w:val="22"/>
        </w:rPr>
        <w:br/>
      </w:r>
    </w:p>
    <w:p w14:paraId="3EB1C10D" w14:textId="77777777" w:rsidR="00BB1A5A" w:rsidRDefault="008506C0"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 xml:space="preserve">This discussion will also indicate whether further review is necessary either because a trigger point has been reached or if a pattern of absence has been </w:t>
      </w:r>
      <w:r w:rsidRPr="008506C0">
        <w:rPr>
          <w:rFonts w:ascii="Verdana" w:hAnsi="Verdana" w:cs="Times New Roman"/>
          <w:sz w:val="22"/>
          <w:szCs w:val="22"/>
        </w:rPr>
        <w:lastRenderedPageBreak/>
        <w:t xml:space="preserve">established which requires additional information. </w:t>
      </w:r>
      <w:r w:rsidR="00BB1A5A">
        <w:rPr>
          <w:rFonts w:ascii="Verdana" w:hAnsi="Verdana" w:cs="Times New Roman"/>
          <w:sz w:val="22"/>
          <w:szCs w:val="22"/>
        </w:rPr>
        <w:br/>
      </w:r>
    </w:p>
    <w:p w14:paraId="4447D3D5" w14:textId="77777777" w:rsidR="00BB1A5A" w:rsidRDefault="008506C0"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B1A5A">
        <w:rPr>
          <w:rFonts w:ascii="Verdana" w:hAnsi="Verdana" w:cs="Times New Roman"/>
          <w:sz w:val="22"/>
          <w:szCs w:val="22"/>
        </w:rPr>
        <w:t xml:space="preserve">If the employee submits a Fit Note the Manager/DI Administrator should ensure all the relevant information is entered onto the appropriate absence record. The Note should be scanned </w:t>
      </w:r>
      <w:r w:rsidR="00EF3104" w:rsidRPr="00BB1A5A">
        <w:rPr>
          <w:rFonts w:ascii="Verdana" w:hAnsi="Verdana" w:cs="Times New Roman"/>
          <w:sz w:val="22"/>
          <w:szCs w:val="22"/>
        </w:rPr>
        <w:t xml:space="preserve">and saved to the employee’s electronic staff file, </w:t>
      </w:r>
      <w:r w:rsidRPr="00BB1A5A">
        <w:rPr>
          <w:rFonts w:ascii="Verdana" w:hAnsi="Verdana" w:cs="Times New Roman"/>
          <w:sz w:val="22"/>
          <w:szCs w:val="22"/>
        </w:rPr>
        <w:t xml:space="preserve">and </w:t>
      </w:r>
      <w:r w:rsidR="008C2AFD" w:rsidRPr="00BB1A5A">
        <w:rPr>
          <w:rFonts w:ascii="Verdana" w:hAnsi="Verdana" w:cs="Times New Roman"/>
          <w:sz w:val="22"/>
          <w:szCs w:val="22"/>
        </w:rPr>
        <w:t>a link</w:t>
      </w:r>
      <w:r w:rsidR="00182033" w:rsidRPr="00BB1A5A">
        <w:rPr>
          <w:rFonts w:ascii="Verdana" w:hAnsi="Verdana" w:cs="Times New Roman"/>
          <w:sz w:val="22"/>
          <w:szCs w:val="22"/>
        </w:rPr>
        <w:t xml:space="preserve"> </w:t>
      </w:r>
      <w:r w:rsidR="00EF3104" w:rsidRPr="00BB1A5A">
        <w:rPr>
          <w:rFonts w:ascii="Verdana" w:hAnsi="Verdana" w:cs="Times New Roman"/>
          <w:sz w:val="22"/>
          <w:szCs w:val="22"/>
        </w:rPr>
        <w:t xml:space="preserve">sent </w:t>
      </w:r>
      <w:r w:rsidR="00182033" w:rsidRPr="00BB1A5A">
        <w:rPr>
          <w:rFonts w:ascii="Verdana" w:hAnsi="Verdana" w:cs="Times New Roman"/>
          <w:sz w:val="22"/>
          <w:szCs w:val="22"/>
        </w:rPr>
        <w:t>to the Local People Team</w:t>
      </w:r>
      <w:r w:rsidR="00EF3104" w:rsidRPr="00BB1A5A">
        <w:rPr>
          <w:rFonts w:ascii="Verdana" w:hAnsi="Verdana" w:cs="Times New Roman"/>
          <w:sz w:val="22"/>
          <w:szCs w:val="22"/>
        </w:rPr>
        <w:t>,</w:t>
      </w:r>
      <w:r w:rsidR="00182033" w:rsidRPr="00BB1A5A">
        <w:rPr>
          <w:rFonts w:ascii="Verdana" w:hAnsi="Verdana" w:cs="Times New Roman"/>
          <w:sz w:val="22"/>
          <w:szCs w:val="22"/>
        </w:rPr>
        <w:t xml:space="preserve"> within 7 working days</w:t>
      </w:r>
      <w:r w:rsidR="00EF3104" w:rsidRPr="00BB1A5A">
        <w:rPr>
          <w:rFonts w:ascii="Verdana" w:hAnsi="Verdana" w:cs="Times New Roman"/>
          <w:sz w:val="22"/>
          <w:szCs w:val="22"/>
        </w:rPr>
        <w:t>.</w:t>
      </w:r>
      <w:r w:rsidR="00182033" w:rsidRPr="00BB1A5A">
        <w:rPr>
          <w:rFonts w:ascii="Verdana" w:hAnsi="Verdana" w:cs="Times New Roman"/>
          <w:sz w:val="22"/>
          <w:szCs w:val="22"/>
        </w:rPr>
        <w:t xml:space="preserve"> </w:t>
      </w:r>
      <w:r w:rsidRPr="00BB1A5A">
        <w:rPr>
          <w:rFonts w:ascii="Verdana" w:hAnsi="Verdana" w:cs="Times New Roman"/>
          <w:sz w:val="22"/>
          <w:szCs w:val="22"/>
        </w:rPr>
        <w:t>The original Fit Note must be returned to the employee.</w:t>
      </w:r>
      <w:r w:rsidR="00BB1A5A">
        <w:rPr>
          <w:rFonts w:ascii="Verdana" w:hAnsi="Verdana" w:cs="Times New Roman"/>
          <w:sz w:val="22"/>
          <w:szCs w:val="22"/>
        </w:rPr>
        <w:br/>
      </w:r>
    </w:p>
    <w:p w14:paraId="1296707E" w14:textId="77777777" w:rsidR="009D06AF" w:rsidRPr="00BB1A5A" w:rsidRDefault="009D06AF" w:rsidP="00BB1A5A">
      <w:pPr>
        <w:pStyle w:val="Heading1"/>
      </w:pPr>
      <w:r w:rsidRPr="00BB1A5A">
        <w:t>Short Term Absence</w:t>
      </w:r>
      <w:r w:rsidR="008506C0" w:rsidRPr="00BB1A5A">
        <w:br/>
      </w:r>
    </w:p>
    <w:p w14:paraId="30664AA5" w14:textId="77777777" w:rsidR="00987B63" w:rsidRPr="008506C0"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8506C0">
        <w:rPr>
          <w:rFonts w:ascii="Verdana" w:hAnsi="Verdana" w:cs="Times New Roman"/>
          <w:sz w:val="22"/>
          <w:szCs w:val="22"/>
        </w:rPr>
        <w:t xml:space="preserve">Short-term absence refers to any period less than 4 continuous weeks.  The procedure includes informal and formal stages - see </w:t>
      </w:r>
      <w:hyperlink r:id="rId12" w:history="1">
        <w:r w:rsidRPr="008506C0">
          <w:rPr>
            <w:rFonts w:ascii="Verdana" w:hAnsi="Verdana" w:cs="Times New Roman"/>
            <w:sz w:val="22"/>
            <w:szCs w:val="22"/>
          </w:rPr>
          <w:t>Management of Short-Term Absence Flowchart</w:t>
        </w:r>
      </w:hyperlink>
      <w:r w:rsidRPr="008506C0">
        <w:rPr>
          <w:rFonts w:ascii="Verdana" w:hAnsi="Verdana" w:cs="Times New Roman"/>
          <w:sz w:val="22"/>
          <w:szCs w:val="22"/>
        </w:rPr>
        <w:t>.</w:t>
      </w:r>
    </w:p>
    <w:p w14:paraId="5F4A709C" w14:textId="77777777" w:rsidR="007C41EC" w:rsidRDefault="00987B63" w:rsidP="007C41EC">
      <w:pPr>
        <w:spacing w:before="100" w:beforeAutospacing="1" w:after="100" w:afterAutospacing="1" w:line="240" w:lineRule="auto"/>
        <w:ind w:left="720" w:hanging="720"/>
        <w:jc w:val="left"/>
        <w:outlineLvl w:val="3"/>
        <w:rPr>
          <w:rFonts w:ascii="Verdana" w:hAnsi="Verdana" w:cs="Times New Roman"/>
          <w:b/>
          <w:bCs/>
          <w:sz w:val="22"/>
          <w:szCs w:val="22"/>
          <w:lang w:eastAsia="en-US"/>
        </w:rPr>
      </w:pPr>
      <w:r w:rsidRPr="001735FB">
        <w:rPr>
          <w:rFonts w:ascii="Verdana" w:hAnsi="Verdana" w:cs="Times New Roman"/>
          <w:b/>
          <w:bCs/>
          <w:sz w:val="22"/>
          <w:szCs w:val="22"/>
          <w:lang w:eastAsia="en-US"/>
        </w:rPr>
        <w:t>Informal review</w:t>
      </w:r>
    </w:p>
    <w:p w14:paraId="45CEF440" w14:textId="77777777" w:rsidR="00B33B37" w:rsidRPr="00BB1A5A"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B1A5A">
        <w:rPr>
          <w:rFonts w:ascii="Verdana" w:hAnsi="Verdana" w:cs="Times New Roman"/>
          <w:sz w:val="22"/>
          <w:szCs w:val="22"/>
        </w:rPr>
        <w:t xml:space="preserve">If a trigger point has been reached, manager arranges an informal review promptly after the return of the employee from the last occasion of absence. (It may be appropriate to hold this meeting immediately following the return to work contact meeting).   There is no automatic entitlement to request to be accompanied to such meetings.  </w:t>
      </w:r>
      <w:r w:rsidR="00B33B37" w:rsidRPr="00BB1A5A">
        <w:rPr>
          <w:rFonts w:ascii="Verdana" w:hAnsi="Verdana" w:cs="Times New Roman"/>
          <w:sz w:val="22"/>
          <w:szCs w:val="22"/>
        </w:rPr>
        <w:br/>
      </w:r>
    </w:p>
    <w:p w14:paraId="2F7D2473" w14:textId="77777777" w:rsidR="00B33B37" w:rsidRDefault="00987B63" w:rsidP="00BB1A5A">
      <w:pPr>
        <w:pStyle w:val="ListParagraph"/>
        <w:numPr>
          <w:ilvl w:val="1"/>
          <w:numId w:val="13"/>
        </w:numPr>
        <w:spacing w:before="100" w:beforeAutospacing="1" w:after="100" w:afterAutospacing="1" w:line="240" w:lineRule="auto"/>
        <w:ind w:left="709"/>
        <w:jc w:val="left"/>
        <w:outlineLvl w:val="3"/>
        <w:rPr>
          <w:rFonts w:ascii="Verdana" w:hAnsi="Verdana" w:cs="Times New Roman"/>
          <w:sz w:val="22"/>
          <w:szCs w:val="22"/>
        </w:rPr>
      </w:pPr>
      <w:r w:rsidRPr="00B33B37">
        <w:rPr>
          <w:rFonts w:ascii="Verdana" w:hAnsi="Verdana" w:cs="Times New Roman"/>
          <w:sz w:val="22"/>
          <w:szCs w:val="22"/>
        </w:rPr>
        <w:t>The purpose of the meeting is to explore into further detail about the periods of sickness absence.</w:t>
      </w:r>
      <w:r w:rsidR="007C41EC" w:rsidRPr="00B33B37">
        <w:rPr>
          <w:rFonts w:ascii="Verdana" w:hAnsi="Verdana" w:cs="Times New Roman"/>
          <w:sz w:val="22"/>
          <w:szCs w:val="22"/>
        </w:rPr>
        <w:t xml:space="preserve"> </w:t>
      </w:r>
      <w:r w:rsidRPr="00B33B37">
        <w:rPr>
          <w:rFonts w:ascii="Verdana" w:hAnsi="Verdana" w:cs="Times New Roman"/>
          <w:sz w:val="22"/>
          <w:szCs w:val="22"/>
        </w:rPr>
        <w:t>Manager arranges a further (update) meeting, at a time agreed with the employee as part of the first informal review meeting.</w:t>
      </w:r>
      <w:r w:rsidR="00B33B37">
        <w:rPr>
          <w:rFonts w:ascii="Verdana" w:hAnsi="Verdana" w:cs="Times New Roman"/>
          <w:sz w:val="22"/>
          <w:szCs w:val="22"/>
        </w:rPr>
        <w:br/>
      </w:r>
    </w:p>
    <w:p w14:paraId="6EEC2A83" w14:textId="77777777" w:rsidR="00B33B37" w:rsidRDefault="00987B63" w:rsidP="00BB1A5A">
      <w:pPr>
        <w:pStyle w:val="ListParagraph"/>
        <w:numPr>
          <w:ilvl w:val="1"/>
          <w:numId w:val="13"/>
        </w:numPr>
        <w:spacing w:before="100" w:beforeAutospacing="1" w:after="100" w:afterAutospacing="1" w:line="240" w:lineRule="auto"/>
        <w:ind w:left="709"/>
        <w:jc w:val="left"/>
        <w:outlineLvl w:val="3"/>
        <w:rPr>
          <w:rFonts w:ascii="Verdana" w:hAnsi="Verdana" w:cs="Times New Roman"/>
          <w:sz w:val="22"/>
          <w:szCs w:val="22"/>
        </w:rPr>
      </w:pPr>
      <w:r w:rsidRPr="00B33B37">
        <w:rPr>
          <w:rFonts w:ascii="Verdana" w:hAnsi="Verdana" w:cs="Times New Roman"/>
          <w:sz w:val="22"/>
          <w:szCs w:val="22"/>
        </w:rPr>
        <w:t>If the employee's attendance has sufficiently improved, then no further action beyond normal monitoring will be required.</w:t>
      </w:r>
      <w:r w:rsidR="00B33B37">
        <w:rPr>
          <w:rFonts w:ascii="Verdana" w:hAnsi="Verdana" w:cs="Times New Roman"/>
          <w:sz w:val="22"/>
          <w:szCs w:val="22"/>
        </w:rPr>
        <w:br/>
      </w:r>
    </w:p>
    <w:p w14:paraId="7527E284" w14:textId="77777777" w:rsidR="00987B63" w:rsidRPr="00B33B37" w:rsidRDefault="007C41EC" w:rsidP="00BB1A5A">
      <w:pPr>
        <w:pStyle w:val="ListParagraph"/>
        <w:numPr>
          <w:ilvl w:val="1"/>
          <w:numId w:val="13"/>
        </w:numPr>
        <w:spacing w:before="100" w:beforeAutospacing="1" w:after="100" w:afterAutospacing="1" w:line="240" w:lineRule="auto"/>
        <w:ind w:left="709"/>
        <w:jc w:val="left"/>
        <w:outlineLvl w:val="3"/>
        <w:rPr>
          <w:rFonts w:ascii="Verdana" w:hAnsi="Verdana" w:cs="Times New Roman"/>
          <w:sz w:val="22"/>
          <w:szCs w:val="22"/>
        </w:rPr>
      </w:pPr>
      <w:r w:rsidRPr="00B33B37">
        <w:rPr>
          <w:rFonts w:ascii="Verdana" w:hAnsi="Verdana" w:cs="Times New Roman"/>
          <w:sz w:val="22"/>
          <w:szCs w:val="22"/>
        </w:rPr>
        <w:t>I</w:t>
      </w:r>
      <w:r w:rsidR="00987B63" w:rsidRPr="00B33B37">
        <w:rPr>
          <w:rFonts w:ascii="Verdana" w:hAnsi="Verdana" w:cs="Times New Roman"/>
          <w:sz w:val="22"/>
          <w:szCs w:val="22"/>
        </w:rPr>
        <w:t>f the employee's attendance has not improved following informal review or where informal review is not appropriate, the manager will commence the formal review process.</w:t>
      </w:r>
    </w:p>
    <w:p w14:paraId="1629D6C5" w14:textId="77777777" w:rsidR="00987B63" w:rsidRPr="001735FB" w:rsidRDefault="00987B63" w:rsidP="00987B63">
      <w:pPr>
        <w:spacing w:before="100" w:beforeAutospacing="1" w:after="100" w:afterAutospacing="1" w:line="240" w:lineRule="auto"/>
        <w:jc w:val="left"/>
        <w:outlineLvl w:val="3"/>
        <w:rPr>
          <w:rFonts w:ascii="Verdana" w:hAnsi="Verdana" w:cs="Times New Roman"/>
          <w:b/>
          <w:bCs/>
          <w:sz w:val="22"/>
          <w:szCs w:val="22"/>
          <w:lang w:eastAsia="en-US"/>
        </w:rPr>
      </w:pPr>
      <w:r w:rsidRPr="001735FB">
        <w:rPr>
          <w:rFonts w:ascii="Verdana" w:hAnsi="Verdana" w:cs="Times New Roman"/>
          <w:b/>
          <w:bCs/>
          <w:sz w:val="22"/>
          <w:szCs w:val="22"/>
          <w:lang w:eastAsia="en-US"/>
        </w:rPr>
        <w:t>Formal review</w:t>
      </w:r>
    </w:p>
    <w:p w14:paraId="5E20FDEF" w14:textId="77777777" w:rsidR="00B33B37" w:rsidRDefault="00987B63" w:rsidP="00BB1A5A">
      <w:pPr>
        <w:pStyle w:val="ListParagraph"/>
        <w:numPr>
          <w:ilvl w:val="1"/>
          <w:numId w:val="13"/>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Manager will provide the employee with advance written notice of formal review meetings, including their entitlement to request to be accompanied at the meeting.</w:t>
      </w:r>
      <w:r w:rsidR="00B33B37">
        <w:rPr>
          <w:rFonts w:ascii="Verdana" w:hAnsi="Verdana" w:cs="Times New Roman"/>
          <w:sz w:val="22"/>
          <w:szCs w:val="22"/>
        </w:rPr>
        <w:br/>
      </w:r>
    </w:p>
    <w:p w14:paraId="32BAA6C5" w14:textId="77777777" w:rsidR="00B33B37" w:rsidRDefault="00987B63" w:rsidP="00BB1A5A">
      <w:pPr>
        <w:pStyle w:val="ListParagraph"/>
        <w:numPr>
          <w:ilvl w:val="1"/>
          <w:numId w:val="13"/>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If at the second or third formal review meeting, it is established that sufficient improvement has taken place, normal monitoring will be returned to.</w:t>
      </w:r>
      <w:r w:rsidR="00B33B37">
        <w:rPr>
          <w:rFonts w:ascii="Verdana" w:hAnsi="Verdana" w:cs="Times New Roman"/>
          <w:sz w:val="22"/>
          <w:szCs w:val="22"/>
        </w:rPr>
        <w:br/>
      </w:r>
    </w:p>
    <w:p w14:paraId="3D9CB174" w14:textId="77777777" w:rsidR="00B33B37" w:rsidRDefault="00987B63" w:rsidP="00BB1A5A">
      <w:pPr>
        <w:pStyle w:val="ListParagraph"/>
        <w:numPr>
          <w:ilvl w:val="1"/>
          <w:numId w:val="13"/>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If the employee has further sickness absence, without satisfactory explanation in the subsequent 6 months, it is not necessary to return to the beginning of the process - see </w:t>
      </w:r>
      <w:hyperlink r:id="rId13" w:history="1">
        <w:r w:rsidRPr="00B33B37">
          <w:rPr>
            <w:rFonts w:ascii="Verdana" w:hAnsi="Verdana" w:cs="Times New Roman"/>
            <w:sz w:val="22"/>
            <w:szCs w:val="22"/>
          </w:rPr>
          <w:t>Management of Short-Term Absence Flowchart</w:t>
        </w:r>
      </w:hyperlink>
      <w:r w:rsidRPr="00B33B37">
        <w:rPr>
          <w:rFonts w:ascii="Verdana" w:hAnsi="Verdana" w:cs="Times New Roman"/>
          <w:sz w:val="22"/>
          <w:szCs w:val="22"/>
        </w:rPr>
        <w:t>.</w:t>
      </w:r>
      <w:r w:rsidR="00B33B37">
        <w:rPr>
          <w:rFonts w:ascii="Verdana" w:hAnsi="Verdana" w:cs="Times New Roman"/>
          <w:sz w:val="22"/>
          <w:szCs w:val="22"/>
        </w:rPr>
        <w:br/>
      </w:r>
    </w:p>
    <w:p w14:paraId="3F507978" w14:textId="77777777" w:rsidR="00B33B37" w:rsidRDefault="00987B63" w:rsidP="00BB1A5A">
      <w:pPr>
        <w:pStyle w:val="ListParagraph"/>
        <w:numPr>
          <w:ilvl w:val="1"/>
          <w:numId w:val="13"/>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Depending on individual circumstances, formal reviews may result in dismissal, but this will always be preceded by at le</w:t>
      </w:r>
      <w:r w:rsidR="00B33B37">
        <w:rPr>
          <w:rFonts w:ascii="Verdana" w:hAnsi="Verdana" w:cs="Times New Roman"/>
          <w:sz w:val="22"/>
          <w:szCs w:val="22"/>
        </w:rPr>
        <w:t>ast two formal written cautions.</w:t>
      </w:r>
      <w:r w:rsidR="00B33B37">
        <w:rPr>
          <w:rFonts w:ascii="Verdana" w:hAnsi="Verdana" w:cs="Times New Roman"/>
          <w:sz w:val="22"/>
          <w:szCs w:val="22"/>
        </w:rPr>
        <w:br/>
      </w:r>
    </w:p>
    <w:p w14:paraId="0D50D1A1" w14:textId="77777777" w:rsidR="00B33B37" w:rsidRDefault="00987B63" w:rsidP="00BB1A5A">
      <w:pPr>
        <w:pStyle w:val="ListParagraph"/>
        <w:numPr>
          <w:ilvl w:val="1"/>
          <w:numId w:val="13"/>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Employees are entitled to appeal each formal stage of the review.</w:t>
      </w:r>
      <w:r w:rsidR="00B33B37">
        <w:rPr>
          <w:rFonts w:ascii="Verdana" w:hAnsi="Verdana" w:cs="Times New Roman"/>
          <w:sz w:val="22"/>
          <w:szCs w:val="22"/>
        </w:rPr>
        <w:br/>
      </w:r>
    </w:p>
    <w:p w14:paraId="7086C994" w14:textId="77777777" w:rsidR="00050BA5" w:rsidRPr="00B33B37" w:rsidRDefault="00987B63" w:rsidP="00BB1A5A">
      <w:pPr>
        <w:pStyle w:val="ListParagraph"/>
        <w:numPr>
          <w:ilvl w:val="1"/>
          <w:numId w:val="13"/>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lastRenderedPageBreak/>
        <w:t>Managers should note this is different from disciplinary action, including dismissal, which arises from abuse of the policy and procedure, e.g. if sickness is not genuine or it is unauthorised absence.</w:t>
      </w:r>
      <w:r w:rsidR="00B33B37">
        <w:rPr>
          <w:rFonts w:ascii="Verdana" w:hAnsi="Verdana" w:cs="Times New Roman"/>
          <w:sz w:val="22"/>
          <w:szCs w:val="22"/>
        </w:rPr>
        <w:br/>
      </w:r>
    </w:p>
    <w:p w14:paraId="7DF02687" w14:textId="77777777" w:rsidR="00987B63" w:rsidRPr="001735FB" w:rsidRDefault="00987B63" w:rsidP="00BB1A5A">
      <w:pPr>
        <w:pStyle w:val="Heading1"/>
      </w:pPr>
      <w:r w:rsidRPr="001735FB">
        <w:t>Long-term absence</w:t>
      </w:r>
      <w:r w:rsidR="00B33B37">
        <w:br/>
      </w:r>
    </w:p>
    <w:p w14:paraId="0102FB50" w14:textId="77777777" w:rsidR="00987B63" w:rsidRP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Long-term absence is that which has been, or is likely to be, continuous for 4 weeks or more.  The procedure includes informal and formal stages - see Management of Long-Term Absence Flowchart.</w:t>
      </w:r>
    </w:p>
    <w:p w14:paraId="6A6FDFB0" w14:textId="77777777" w:rsidR="00050BA5" w:rsidRDefault="00050BA5" w:rsidP="00050BA5">
      <w:pPr>
        <w:spacing w:before="100" w:beforeAutospacing="1" w:after="100" w:afterAutospacing="1" w:line="240" w:lineRule="auto"/>
        <w:ind w:left="720" w:hanging="720"/>
        <w:jc w:val="left"/>
        <w:rPr>
          <w:rFonts w:ascii="Verdana" w:hAnsi="Verdana" w:cs="Times New Roman"/>
          <w:b/>
          <w:sz w:val="22"/>
          <w:szCs w:val="22"/>
        </w:rPr>
      </w:pPr>
      <w:r w:rsidRPr="001735FB">
        <w:rPr>
          <w:rFonts w:ascii="Verdana" w:hAnsi="Verdana" w:cs="Times New Roman"/>
          <w:b/>
          <w:sz w:val="22"/>
          <w:szCs w:val="22"/>
          <w:lang w:eastAsia="en-US"/>
        </w:rPr>
        <w:t>Facilitating a return to work</w:t>
      </w:r>
      <w:r>
        <w:rPr>
          <w:rFonts w:ascii="Verdana" w:hAnsi="Verdana" w:cs="Times New Roman"/>
          <w:b/>
          <w:sz w:val="22"/>
          <w:szCs w:val="22"/>
          <w:lang w:eastAsia="en-US"/>
        </w:rPr>
        <w:t xml:space="preserve"> after Long Term Sickness Absence</w:t>
      </w:r>
    </w:p>
    <w:p w14:paraId="60E5428C" w14:textId="77777777" w:rsidR="00987B63" w:rsidRPr="00B33B37" w:rsidRDefault="00050BA5"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lang w:eastAsia="en-US"/>
        </w:rPr>
      </w:pPr>
      <w:r w:rsidRPr="00B33B37">
        <w:rPr>
          <w:rFonts w:ascii="Verdana" w:hAnsi="Verdana" w:cs="Times New Roman"/>
          <w:sz w:val="22"/>
          <w:szCs w:val="22"/>
        </w:rPr>
        <w:t>Wherever practicable and appropriate, phased return to work arrangements may</w:t>
      </w:r>
      <w:r w:rsidR="00B33B37" w:rsidRPr="00B33B37">
        <w:rPr>
          <w:rFonts w:ascii="Verdana" w:hAnsi="Verdana" w:cs="Times New Roman"/>
          <w:sz w:val="22"/>
          <w:szCs w:val="22"/>
        </w:rPr>
        <w:t xml:space="preserve"> </w:t>
      </w:r>
      <w:r w:rsidRPr="00B33B37">
        <w:rPr>
          <w:rFonts w:ascii="Verdana" w:hAnsi="Verdana" w:cs="Times New Roman"/>
          <w:sz w:val="22"/>
          <w:szCs w:val="22"/>
        </w:rPr>
        <w:t>be agreed with employees to assist their rehabilitation and transition back in to work after a period of sickness.</w:t>
      </w:r>
      <w:r w:rsidRPr="00B33B37">
        <w:rPr>
          <w:rFonts w:ascii="Verdana" w:hAnsi="Verdana"/>
          <w:sz w:val="22"/>
          <w:szCs w:val="22"/>
        </w:rPr>
        <w:t xml:space="preserve"> T</w:t>
      </w:r>
      <w:r w:rsidRPr="00B33B37">
        <w:rPr>
          <w:rFonts w:ascii="Verdana" w:hAnsi="Verdana" w:cs="Times New Roman"/>
          <w:sz w:val="22"/>
          <w:szCs w:val="22"/>
        </w:rPr>
        <w:t>his phasing is typically over a period of up to 4 weeks in discussion with the individual taking into consideration any medical advice. Information about pay during a phased return to work, see Barnardo's Sickness Payment Schemes.</w:t>
      </w:r>
    </w:p>
    <w:p w14:paraId="5636D178" w14:textId="77777777" w:rsidR="00987B63" w:rsidRPr="001735FB" w:rsidRDefault="00987B63" w:rsidP="00987B63">
      <w:pPr>
        <w:spacing w:before="100" w:beforeAutospacing="1" w:after="100" w:afterAutospacing="1" w:line="240" w:lineRule="auto"/>
        <w:jc w:val="left"/>
        <w:outlineLvl w:val="3"/>
        <w:rPr>
          <w:rFonts w:ascii="Verdana" w:hAnsi="Verdana" w:cs="Times New Roman"/>
          <w:b/>
          <w:bCs/>
          <w:sz w:val="22"/>
          <w:szCs w:val="22"/>
          <w:lang w:eastAsia="en-US"/>
        </w:rPr>
      </w:pPr>
      <w:r w:rsidRPr="001735FB">
        <w:rPr>
          <w:rFonts w:ascii="Verdana" w:hAnsi="Verdana" w:cs="Times New Roman"/>
          <w:b/>
          <w:bCs/>
          <w:sz w:val="22"/>
          <w:szCs w:val="22"/>
          <w:lang w:eastAsia="en-US"/>
        </w:rPr>
        <w:t>Informal review</w:t>
      </w:r>
    </w:p>
    <w:p w14:paraId="100ED5EB" w14:textId="77777777" w:rsid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In the early stages of absence, the line manager and/or the relevant People team will contact the employee regarding support options during their sickness and upon return to work.  This may involve a meeting which can be a home visit with a companion attending if appropriate and/or a referral to Barnardo’s Occupational Health provider.  A medical report may also be requested to assist with this.  This should take place within the first 4 weeks of sickness absence. </w:t>
      </w:r>
      <w:r w:rsidR="00B33B37">
        <w:rPr>
          <w:rFonts w:ascii="Verdana" w:hAnsi="Verdana" w:cs="Times New Roman"/>
          <w:sz w:val="22"/>
          <w:szCs w:val="22"/>
        </w:rPr>
        <w:br/>
      </w:r>
    </w:p>
    <w:p w14:paraId="24314C60" w14:textId="77777777" w:rsid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If an employee’s absence is work related or due to an accident at work, then a referral to Barnardo’s Occupational Health provider should be made straight away.</w:t>
      </w:r>
      <w:r w:rsidR="00B33B37">
        <w:rPr>
          <w:rFonts w:ascii="Verdana" w:hAnsi="Verdana" w:cs="Times New Roman"/>
          <w:sz w:val="22"/>
          <w:szCs w:val="22"/>
        </w:rPr>
        <w:br/>
      </w:r>
    </w:p>
    <w:p w14:paraId="124BB49A" w14:textId="77777777" w:rsid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Should the informal review suggest that a return to work in the near future is unlikely, but that this will not cause operational difficulties, a further informal review will be arranged.  This will normally be within 8 weeks from the start of the absence period.</w:t>
      </w:r>
      <w:r w:rsidR="00B33B37">
        <w:rPr>
          <w:rFonts w:ascii="Verdana" w:hAnsi="Verdana" w:cs="Times New Roman"/>
          <w:sz w:val="22"/>
          <w:szCs w:val="22"/>
        </w:rPr>
        <w:br/>
      </w:r>
    </w:p>
    <w:p w14:paraId="7D5C347C" w14:textId="77777777" w:rsidR="00987B63" w:rsidRP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 xml:space="preserve">It is expected that regular contact and reviews will continue to take place, on average twice per month, throughout the period of continued sickness absence.  </w:t>
      </w:r>
    </w:p>
    <w:p w14:paraId="55567042" w14:textId="77777777" w:rsidR="00987B63" w:rsidRPr="001735FB" w:rsidRDefault="00987B63" w:rsidP="00987B63">
      <w:pPr>
        <w:spacing w:before="100" w:beforeAutospacing="1" w:after="100" w:afterAutospacing="1" w:line="240" w:lineRule="auto"/>
        <w:jc w:val="left"/>
        <w:outlineLvl w:val="3"/>
        <w:rPr>
          <w:rFonts w:ascii="Verdana" w:hAnsi="Verdana" w:cs="Times New Roman"/>
          <w:b/>
          <w:bCs/>
          <w:sz w:val="22"/>
          <w:szCs w:val="22"/>
          <w:lang w:eastAsia="en-US"/>
        </w:rPr>
      </w:pPr>
      <w:r w:rsidRPr="001735FB">
        <w:rPr>
          <w:rFonts w:ascii="Verdana" w:hAnsi="Verdana" w:cs="Times New Roman"/>
          <w:b/>
          <w:bCs/>
          <w:sz w:val="22"/>
          <w:szCs w:val="22"/>
          <w:lang w:eastAsia="en-US"/>
        </w:rPr>
        <w:t>Formal review</w:t>
      </w:r>
    </w:p>
    <w:p w14:paraId="701D6D83" w14:textId="77777777" w:rsid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Where continued absence will cause unreasonable operational difficulties and/or further time or recommended medical treatment will not increase the likelihood of the employee returning, a formal review meeting will be arranged to follow on from the informal review(s).</w:t>
      </w:r>
      <w:r w:rsidR="00B33B37">
        <w:rPr>
          <w:rFonts w:ascii="Verdana" w:hAnsi="Verdana" w:cs="Times New Roman"/>
          <w:sz w:val="22"/>
          <w:szCs w:val="22"/>
        </w:rPr>
        <w:br/>
      </w:r>
    </w:p>
    <w:p w14:paraId="33FF3D1E" w14:textId="77777777" w:rsid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Manager will provide the employee with advance written notice of formal review meetings, including their entitlement to request to be accompanied at the meeting.  Where appropriate, the meeting may take place via a home visit.</w:t>
      </w:r>
      <w:r w:rsidR="00B33B37">
        <w:rPr>
          <w:rFonts w:ascii="Verdana" w:hAnsi="Verdana" w:cs="Times New Roman"/>
          <w:sz w:val="22"/>
          <w:szCs w:val="22"/>
        </w:rPr>
        <w:br/>
      </w:r>
    </w:p>
    <w:p w14:paraId="61D86B8F" w14:textId="77777777" w:rsid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lastRenderedPageBreak/>
        <w:t>The review will explore available options such as additional treatment, phased return, redeployment, job/workplace adjustments, ill-health retirement</w:t>
      </w:r>
      <w:r w:rsidR="00B504FB" w:rsidRPr="00B33B37">
        <w:rPr>
          <w:rFonts w:ascii="Verdana" w:hAnsi="Verdana" w:cs="Times New Roman"/>
          <w:sz w:val="22"/>
          <w:szCs w:val="22"/>
        </w:rPr>
        <w:t>,</w:t>
      </w:r>
      <w:r w:rsidRPr="00B33B37">
        <w:rPr>
          <w:rFonts w:ascii="Verdana" w:hAnsi="Verdana" w:cs="Times New Roman"/>
          <w:sz w:val="22"/>
          <w:szCs w:val="22"/>
        </w:rPr>
        <w:t xml:space="preserve"> </w:t>
      </w:r>
      <w:r w:rsidR="00B504FB" w:rsidRPr="00B33B37">
        <w:rPr>
          <w:rFonts w:ascii="Verdana" w:hAnsi="Verdana" w:cs="Times New Roman"/>
          <w:sz w:val="22"/>
          <w:szCs w:val="22"/>
        </w:rPr>
        <w:t xml:space="preserve">before considering </w:t>
      </w:r>
      <w:r w:rsidRPr="00B33B37">
        <w:rPr>
          <w:rFonts w:ascii="Verdana" w:hAnsi="Verdana" w:cs="Times New Roman"/>
          <w:sz w:val="22"/>
          <w:szCs w:val="22"/>
        </w:rPr>
        <w:t>dismissal.</w:t>
      </w:r>
      <w:r w:rsidR="00B33B37">
        <w:rPr>
          <w:rFonts w:ascii="Verdana" w:hAnsi="Verdana" w:cs="Times New Roman"/>
          <w:sz w:val="22"/>
          <w:szCs w:val="22"/>
        </w:rPr>
        <w:br/>
      </w:r>
    </w:p>
    <w:p w14:paraId="46A3279D" w14:textId="77777777" w:rsidR="00B33B37" w:rsidRPr="00B33B37"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33B37">
        <w:rPr>
          <w:rFonts w:ascii="Verdana" w:hAnsi="Verdana" w:cs="Times New Roman"/>
          <w:sz w:val="22"/>
          <w:szCs w:val="22"/>
        </w:rPr>
        <w:t>Employees have the right to appeal each formal stage of the review process, up to and including dismissal.</w:t>
      </w:r>
      <w:r w:rsidR="00B33B37">
        <w:rPr>
          <w:rFonts w:ascii="Verdana" w:hAnsi="Verdana" w:cs="Times New Roman"/>
          <w:sz w:val="22"/>
          <w:szCs w:val="22"/>
        </w:rPr>
        <w:br/>
      </w:r>
    </w:p>
    <w:p w14:paraId="7C3383A1" w14:textId="77777777" w:rsidR="00987B63" w:rsidRPr="001735FB" w:rsidRDefault="00987B63" w:rsidP="00BB1A5A">
      <w:pPr>
        <w:pStyle w:val="Heading1"/>
      </w:pPr>
      <w:r w:rsidRPr="001735FB">
        <w:t>Appeals</w:t>
      </w:r>
      <w:r w:rsidR="0014528E">
        <w:br/>
      </w:r>
    </w:p>
    <w:p w14:paraId="5F4DB045" w14:textId="77777777" w:rsidR="0014528E" w:rsidRDefault="00987B63" w:rsidP="00BB1A5A">
      <w:pPr>
        <w:pStyle w:val="ListParagraph"/>
        <w:numPr>
          <w:ilvl w:val="1"/>
          <w:numId w:val="12"/>
        </w:numPr>
        <w:spacing w:before="0" w:after="0" w:line="240" w:lineRule="auto"/>
        <w:ind w:left="709"/>
        <w:jc w:val="left"/>
        <w:rPr>
          <w:rFonts w:ascii="Verdana" w:hAnsi="Verdana" w:cs="Times New Roman"/>
          <w:sz w:val="22"/>
          <w:szCs w:val="22"/>
        </w:rPr>
      </w:pPr>
      <w:r w:rsidRPr="0014528E">
        <w:rPr>
          <w:rFonts w:ascii="Verdana" w:hAnsi="Verdana" w:cs="Times New Roman"/>
          <w:sz w:val="22"/>
          <w:szCs w:val="22"/>
        </w:rPr>
        <w:t>An appeal against a (formal written caution) can be lodged in writing to the immediate manager of the manager who issued the caution.</w:t>
      </w:r>
      <w:r w:rsidR="0014528E">
        <w:rPr>
          <w:rFonts w:ascii="Verdana" w:hAnsi="Verdana" w:cs="Times New Roman"/>
          <w:sz w:val="22"/>
          <w:szCs w:val="22"/>
        </w:rPr>
        <w:br/>
      </w:r>
    </w:p>
    <w:p w14:paraId="42703FC7" w14:textId="77777777" w:rsidR="0014528E" w:rsidRDefault="00987B63" w:rsidP="00BB1A5A">
      <w:pPr>
        <w:pStyle w:val="ListParagraph"/>
        <w:numPr>
          <w:ilvl w:val="1"/>
          <w:numId w:val="12"/>
        </w:numPr>
        <w:spacing w:before="0" w:after="0" w:line="240" w:lineRule="auto"/>
        <w:ind w:left="709"/>
        <w:jc w:val="left"/>
        <w:rPr>
          <w:rFonts w:ascii="Verdana" w:hAnsi="Verdana" w:cs="Times New Roman"/>
          <w:sz w:val="22"/>
          <w:szCs w:val="22"/>
        </w:rPr>
      </w:pPr>
      <w:r w:rsidRPr="0014528E">
        <w:rPr>
          <w:rFonts w:ascii="Verdana" w:hAnsi="Verdana" w:cs="Times New Roman"/>
          <w:sz w:val="22"/>
          <w:szCs w:val="22"/>
        </w:rPr>
        <w:t>An appeal against dismissal should be sent to the appropriate Director.</w:t>
      </w:r>
      <w:r w:rsidR="0014528E">
        <w:rPr>
          <w:rFonts w:ascii="Verdana" w:hAnsi="Verdana" w:cs="Times New Roman"/>
          <w:sz w:val="22"/>
          <w:szCs w:val="22"/>
        </w:rPr>
        <w:br/>
      </w:r>
    </w:p>
    <w:p w14:paraId="674B80AB" w14:textId="77777777" w:rsidR="00987B63" w:rsidRPr="0014528E" w:rsidRDefault="00987B63" w:rsidP="00BB1A5A">
      <w:pPr>
        <w:pStyle w:val="ListParagraph"/>
        <w:numPr>
          <w:ilvl w:val="1"/>
          <w:numId w:val="12"/>
        </w:numPr>
        <w:spacing w:before="0" w:after="0" w:line="240" w:lineRule="auto"/>
        <w:ind w:left="709"/>
        <w:jc w:val="left"/>
        <w:rPr>
          <w:rFonts w:ascii="Verdana" w:hAnsi="Verdana" w:cs="Times New Roman"/>
          <w:sz w:val="22"/>
          <w:szCs w:val="22"/>
        </w:rPr>
      </w:pPr>
      <w:r w:rsidRPr="0014528E">
        <w:rPr>
          <w:rFonts w:ascii="Verdana" w:hAnsi="Verdana" w:cs="Times New Roman"/>
          <w:sz w:val="22"/>
          <w:szCs w:val="22"/>
        </w:rPr>
        <w:t>The appeal letter should be submitted without undue delay, usually within 10 working days of the caution/dismissal, stating the grounds and reasons for those grounds, examples of which may include:</w:t>
      </w:r>
    </w:p>
    <w:p w14:paraId="569415FB" w14:textId="77777777" w:rsidR="00987B63" w:rsidRPr="001735FB" w:rsidRDefault="00987B63" w:rsidP="00BB1A5A">
      <w:pPr>
        <w:pStyle w:val="ListParagraph"/>
        <w:numPr>
          <w:ilvl w:val="0"/>
          <w:numId w:val="10"/>
        </w:numPr>
        <w:spacing w:before="0" w:after="0" w:line="240" w:lineRule="auto"/>
        <w:jc w:val="left"/>
        <w:rPr>
          <w:rFonts w:ascii="Verdana" w:hAnsi="Verdana" w:cs="Times New Roman"/>
          <w:sz w:val="22"/>
          <w:szCs w:val="22"/>
        </w:rPr>
      </w:pPr>
      <w:r w:rsidRPr="001735FB">
        <w:rPr>
          <w:rFonts w:ascii="Verdana" w:hAnsi="Verdana" w:cs="Times New Roman"/>
          <w:sz w:val="22"/>
          <w:szCs w:val="22"/>
        </w:rPr>
        <w:t>New evidence which was not available at the time of the formal review meeting.</w:t>
      </w:r>
    </w:p>
    <w:p w14:paraId="0A1C33AD" w14:textId="77777777" w:rsidR="00987B63" w:rsidRPr="001735FB" w:rsidRDefault="00987B63" w:rsidP="00BB1A5A">
      <w:pPr>
        <w:pStyle w:val="ListParagraph"/>
        <w:numPr>
          <w:ilvl w:val="0"/>
          <w:numId w:val="10"/>
        </w:numPr>
        <w:spacing w:after="0" w:line="240" w:lineRule="auto"/>
        <w:jc w:val="left"/>
        <w:rPr>
          <w:rFonts w:ascii="Verdana" w:hAnsi="Verdana" w:cs="Times New Roman"/>
          <w:sz w:val="22"/>
          <w:szCs w:val="22"/>
        </w:rPr>
      </w:pPr>
      <w:r w:rsidRPr="001735FB">
        <w:rPr>
          <w:rFonts w:ascii="Verdana" w:hAnsi="Verdana" w:cs="Times New Roman"/>
          <w:sz w:val="22"/>
          <w:szCs w:val="22"/>
        </w:rPr>
        <w:t>The sickness absence procedure was not followed.</w:t>
      </w:r>
    </w:p>
    <w:p w14:paraId="76F72021" w14:textId="77777777" w:rsidR="00987B63" w:rsidRPr="001735FB" w:rsidRDefault="00987B63" w:rsidP="00BB1A5A">
      <w:pPr>
        <w:pStyle w:val="ListParagraph"/>
        <w:numPr>
          <w:ilvl w:val="0"/>
          <w:numId w:val="10"/>
        </w:numPr>
        <w:spacing w:after="0" w:line="240" w:lineRule="auto"/>
        <w:jc w:val="left"/>
        <w:rPr>
          <w:rFonts w:ascii="Verdana" w:hAnsi="Verdana" w:cs="Times New Roman"/>
          <w:sz w:val="22"/>
          <w:szCs w:val="22"/>
        </w:rPr>
      </w:pPr>
      <w:r w:rsidRPr="001735FB">
        <w:rPr>
          <w:rFonts w:ascii="Verdana" w:hAnsi="Verdana" w:cs="Times New Roman"/>
          <w:sz w:val="22"/>
          <w:szCs w:val="22"/>
        </w:rPr>
        <w:t>Demonstration that the level of action taken was not reasonable (i.e. that the level of action taken was inappropriate to the issue).</w:t>
      </w:r>
    </w:p>
    <w:p w14:paraId="0198793E" w14:textId="77777777" w:rsidR="0014528E" w:rsidRDefault="00987B63" w:rsidP="00BB1A5A">
      <w:pPr>
        <w:pStyle w:val="ListParagraph"/>
        <w:numPr>
          <w:ilvl w:val="0"/>
          <w:numId w:val="10"/>
        </w:numPr>
        <w:spacing w:after="0" w:line="240" w:lineRule="auto"/>
        <w:jc w:val="left"/>
        <w:rPr>
          <w:rFonts w:ascii="Verdana" w:hAnsi="Verdana" w:cs="Times New Roman"/>
          <w:sz w:val="22"/>
          <w:szCs w:val="22"/>
        </w:rPr>
      </w:pPr>
      <w:r w:rsidRPr="001735FB">
        <w:rPr>
          <w:rFonts w:ascii="Verdana" w:hAnsi="Verdana" w:cs="Times New Roman"/>
          <w:sz w:val="22"/>
          <w:szCs w:val="22"/>
        </w:rPr>
        <w:t>The decision, based on the evidence presented at the formal meeting, was unfair.</w:t>
      </w:r>
      <w:r w:rsidR="0014528E">
        <w:rPr>
          <w:rFonts w:ascii="Verdana" w:hAnsi="Verdana" w:cs="Times New Roman"/>
          <w:sz w:val="22"/>
          <w:szCs w:val="22"/>
        </w:rPr>
        <w:br/>
      </w:r>
    </w:p>
    <w:p w14:paraId="516FFEB0" w14:textId="77777777" w:rsidR="0014528E" w:rsidRDefault="00987B63" w:rsidP="00BB1A5A">
      <w:pPr>
        <w:pStyle w:val="ListParagraph"/>
        <w:numPr>
          <w:ilvl w:val="1"/>
          <w:numId w:val="12"/>
        </w:numPr>
        <w:spacing w:before="0" w:after="0" w:line="240" w:lineRule="auto"/>
        <w:ind w:left="709"/>
        <w:jc w:val="left"/>
        <w:rPr>
          <w:rFonts w:ascii="Verdana" w:hAnsi="Verdana" w:cs="Times New Roman"/>
          <w:sz w:val="22"/>
          <w:szCs w:val="22"/>
        </w:rPr>
      </w:pPr>
      <w:r w:rsidRPr="0014528E">
        <w:rPr>
          <w:rFonts w:ascii="Verdana" w:hAnsi="Verdana" w:cs="Times New Roman"/>
          <w:sz w:val="22"/>
          <w:szCs w:val="22"/>
        </w:rPr>
        <w:t>Barnardo’s will determine who should hear the appeal and a meeting will be convened, without undue delay, usually within 20 working days of receipt of the request. The employee has the right to request to be accompanied to the meeting and further details can be found on the Accompaniment information sheet.</w:t>
      </w:r>
      <w:r w:rsidR="0014528E">
        <w:rPr>
          <w:rFonts w:ascii="Verdana" w:hAnsi="Verdana" w:cs="Times New Roman"/>
          <w:sz w:val="22"/>
          <w:szCs w:val="22"/>
        </w:rPr>
        <w:br/>
      </w:r>
    </w:p>
    <w:p w14:paraId="508A847F" w14:textId="77777777" w:rsidR="00987B63" w:rsidRPr="0014528E" w:rsidRDefault="00987B63" w:rsidP="00BB1A5A">
      <w:pPr>
        <w:pStyle w:val="ListParagraph"/>
        <w:numPr>
          <w:ilvl w:val="1"/>
          <w:numId w:val="12"/>
        </w:numPr>
        <w:spacing w:before="0" w:after="0" w:line="240" w:lineRule="auto"/>
        <w:ind w:left="709"/>
        <w:jc w:val="left"/>
        <w:rPr>
          <w:rFonts w:ascii="Verdana" w:hAnsi="Verdana" w:cs="Times New Roman"/>
          <w:sz w:val="22"/>
          <w:szCs w:val="22"/>
        </w:rPr>
      </w:pPr>
      <w:r w:rsidRPr="0014528E">
        <w:rPr>
          <w:rFonts w:ascii="Verdana" w:hAnsi="Verdana" w:cs="Times New Roman"/>
          <w:sz w:val="22"/>
          <w:szCs w:val="22"/>
        </w:rPr>
        <w:t xml:space="preserve">Following an adjournment and consideration of the facts, </w:t>
      </w:r>
      <w:r w:rsidRPr="0014528E">
        <w:rPr>
          <w:rStyle w:val="Emphasis"/>
          <w:rFonts w:eastAsiaTheme="majorEastAsia"/>
          <w:b w:val="0"/>
          <w:sz w:val="22"/>
          <w:szCs w:val="22"/>
        </w:rPr>
        <w:t xml:space="preserve">the outcome of the appeal hearing will either be confirmed on the day (and then in writing) or confirmed in writing following the meeting, usually within 5 working days, unless otherwise agreed. </w:t>
      </w:r>
      <w:r w:rsidRPr="0014528E">
        <w:rPr>
          <w:rFonts w:ascii="Verdana" w:hAnsi="Verdana" w:cs="Times New Roman"/>
          <w:sz w:val="22"/>
          <w:szCs w:val="22"/>
        </w:rPr>
        <w:t>This decision will be final with no further stage of appeal.</w:t>
      </w:r>
      <w:r w:rsidR="0014528E">
        <w:rPr>
          <w:rFonts w:ascii="Verdana" w:hAnsi="Verdana" w:cs="Times New Roman"/>
          <w:sz w:val="22"/>
          <w:szCs w:val="22"/>
        </w:rPr>
        <w:br/>
      </w:r>
    </w:p>
    <w:p w14:paraId="6D09EA47" w14:textId="77777777" w:rsidR="00987B63" w:rsidRPr="007C41EC" w:rsidRDefault="00987B63" w:rsidP="00BB1A5A">
      <w:pPr>
        <w:pStyle w:val="Heading1"/>
      </w:pPr>
      <w:r w:rsidRPr="007C41EC">
        <w:t xml:space="preserve">Sickness absence during pregnancy: </w:t>
      </w:r>
      <w:r w:rsidR="0014528E">
        <w:br/>
      </w:r>
    </w:p>
    <w:p w14:paraId="306DA672" w14:textId="77777777" w:rsidR="0014528E" w:rsidRPr="0014528E" w:rsidRDefault="00987B63" w:rsidP="00BB1A5A">
      <w:pPr>
        <w:pStyle w:val="ListParagraph"/>
        <w:numPr>
          <w:ilvl w:val="1"/>
          <w:numId w:val="12"/>
        </w:numPr>
        <w:spacing w:before="100" w:beforeAutospacing="1" w:after="100" w:afterAutospacing="1" w:line="240" w:lineRule="auto"/>
        <w:ind w:left="709"/>
        <w:jc w:val="left"/>
        <w:rPr>
          <w:rFonts w:ascii="Verdana" w:hAnsi="Verdana"/>
          <w:sz w:val="22"/>
          <w:szCs w:val="22"/>
        </w:rPr>
      </w:pPr>
      <w:r w:rsidRPr="0014528E">
        <w:rPr>
          <w:rFonts w:ascii="Verdana" w:hAnsi="Verdana" w:cs="Times New Roman"/>
          <w:sz w:val="22"/>
          <w:szCs w:val="22"/>
        </w:rPr>
        <w:t>If an employee is absent from work for a pregnancy related reason in the 4 weeks before the week her baby is due, her maternity leave will be triggered and commence on the first day of her pregnancy related sickness absence. Prior to that, pregnancy related absence will not count towards trigger level points so long as the manager is aware of the employee’s pregnancy.</w:t>
      </w:r>
      <w:r w:rsidRPr="0014528E">
        <w:rPr>
          <w:sz w:val="22"/>
          <w:szCs w:val="22"/>
        </w:rPr>
        <w:t xml:space="preserve"> </w:t>
      </w:r>
      <w:r w:rsidR="0014528E">
        <w:rPr>
          <w:sz w:val="22"/>
          <w:szCs w:val="22"/>
        </w:rPr>
        <w:br/>
      </w:r>
    </w:p>
    <w:p w14:paraId="7997389B" w14:textId="77777777" w:rsidR="00987B63" w:rsidRPr="0014528E" w:rsidRDefault="00987B63" w:rsidP="00BB1A5A">
      <w:pPr>
        <w:pStyle w:val="ListParagraph"/>
        <w:numPr>
          <w:ilvl w:val="1"/>
          <w:numId w:val="12"/>
        </w:numPr>
        <w:spacing w:before="100" w:beforeAutospacing="1" w:after="100" w:afterAutospacing="1" w:line="240" w:lineRule="auto"/>
        <w:ind w:left="709"/>
        <w:jc w:val="left"/>
        <w:rPr>
          <w:rFonts w:ascii="Verdana" w:hAnsi="Verdana"/>
          <w:sz w:val="22"/>
          <w:szCs w:val="22"/>
        </w:rPr>
      </w:pPr>
      <w:r w:rsidRPr="0014528E">
        <w:rPr>
          <w:rFonts w:ascii="Verdana" w:hAnsi="Verdana"/>
          <w:sz w:val="22"/>
          <w:szCs w:val="22"/>
        </w:rPr>
        <w:t>Additional provisions may apply where eligibility for sick pay has been affected by pregnancy related absence. The Local People Team will advise the staff member when these are applicable.</w:t>
      </w:r>
      <w:r w:rsidRPr="0014528E">
        <w:rPr>
          <w:sz w:val="22"/>
          <w:szCs w:val="22"/>
        </w:rPr>
        <w:t xml:space="preserve"> </w:t>
      </w:r>
      <w:r w:rsidR="000F0102">
        <w:rPr>
          <w:sz w:val="22"/>
          <w:szCs w:val="22"/>
        </w:rPr>
        <w:br/>
      </w:r>
    </w:p>
    <w:p w14:paraId="3963804E" w14:textId="77777777" w:rsidR="00987B63" w:rsidRPr="0051669E" w:rsidRDefault="00987B63" w:rsidP="00BB1A5A">
      <w:pPr>
        <w:pStyle w:val="Heading1"/>
      </w:pPr>
      <w:r w:rsidRPr="0051669E">
        <w:t>Sickness absence during annual leave </w:t>
      </w:r>
      <w:r w:rsidR="000F0102">
        <w:br/>
      </w:r>
    </w:p>
    <w:p w14:paraId="393DFCB0" w14:textId="77777777" w:rsidR="002421AE" w:rsidRPr="00BB1A5A"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B1A5A">
        <w:rPr>
          <w:rFonts w:ascii="Verdana" w:hAnsi="Verdana" w:cs="Times New Roman"/>
          <w:sz w:val="22"/>
          <w:szCs w:val="22"/>
        </w:rPr>
        <w:t xml:space="preserve">Should employees become unwell during annual leave, the same notification procedures will apply, but a medical certificate must be provided even for absences of less than 7 calendar days.  The period from the date of the medical certificate will be regarded as sick leave and the outstanding balance of the </w:t>
      </w:r>
      <w:r w:rsidRPr="00BB1A5A">
        <w:rPr>
          <w:rFonts w:ascii="Verdana" w:hAnsi="Verdana" w:cs="Times New Roman"/>
          <w:sz w:val="22"/>
          <w:szCs w:val="22"/>
        </w:rPr>
        <w:lastRenderedPageBreak/>
        <w:t>holiday may be taken at a later date</w:t>
      </w:r>
      <w:r w:rsidR="007514C0" w:rsidRPr="00BB1A5A">
        <w:rPr>
          <w:rFonts w:ascii="Verdana" w:hAnsi="Verdana" w:cs="Times New Roman"/>
          <w:sz w:val="22"/>
          <w:szCs w:val="22"/>
        </w:rPr>
        <w:t>, subject to line manager approval and consideration of any further medical advice requested</w:t>
      </w:r>
      <w:r w:rsidRPr="00BB1A5A">
        <w:rPr>
          <w:rFonts w:ascii="Verdana" w:hAnsi="Verdana" w:cs="Times New Roman"/>
          <w:sz w:val="22"/>
          <w:szCs w:val="22"/>
        </w:rPr>
        <w:t>.  Unless there are exceptional circumstances, this should normally be in the same leave year. This provision does not apply to school staff entitled to normal school holidays or non-school based staff on Term Time Only contracts.</w:t>
      </w:r>
      <w:r w:rsidR="000F0102" w:rsidRPr="00BB1A5A">
        <w:rPr>
          <w:rFonts w:ascii="Verdana" w:hAnsi="Verdana" w:cs="Times New Roman"/>
          <w:sz w:val="22"/>
          <w:szCs w:val="22"/>
        </w:rPr>
        <w:br/>
      </w:r>
    </w:p>
    <w:p w14:paraId="1A13C94D" w14:textId="77777777" w:rsidR="00987B63" w:rsidRPr="00C61C41" w:rsidRDefault="00987B63" w:rsidP="00BB1A5A">
      <w:pPr>
        <w:pStyle w:val="Heading1"/>
      </w:pPr>
      <w:r w:rsidRPr="00C61C41">
        <w:t xml:space="preserve">Accruing and taking leave during sickness absence </w:t>
      </w:r>
    </w:p>
    <w:p w14:paraId="041E4EE4" w14:textId="77777777" w:rsidR="00EC1799" w:rsidRPr="00C61C41" w:rsidRDefault="00EC1799" w:rsidP="00EC1799">
      <w:pPr>
        <w:spacing w:before="100" w:beforeAutospacing="1" w:after="100" w:afterAutospacing="1" w:line="240" w:lineRule="auto"/>
        <w:ind w:left="709" w:hanging="709"/>
        <w:jc w:val="left"/>
        <w:rPr>
          <w:rFonts w:ascii="Verdana" w:hAnsi="Verdana" w:cs="Times New Roman"/>
          <w:sz w:val="22"/>
          <w:szCs w:val="22"/>
        </w:rPr>
      </w:pPr>
      <w:r w:rsidRPr="00C61C41">
        <w:rPr>
          <w:rFonts w:ascii="Verdana" w:hAnsi="Verdana" w:cs="Times New Roman"/>
          <w:sz w:val="22"/>
          <w:szCs w:val="22"/>
        </w:rPr>
        <w:t>12.1</w:t>
      </w:r>
      <w:r w:rsidRPr="00C61C41">
        <w:rPr>
          <w:rFonts w:ascii="Verdana" w:hAnsi="Verdana" w:cs="Times New Roman"/>
          <w:sz w:val="22"/>
          <w:szCs w:val="22"/>
        </w:rPr>
        <w:tab/>
      </w:r>
      <w:r w:rsidR="00987B63" w:rsidRPr="00C61C41">
        <w:rPr>
          <w:rFonts w:ascii="Verdana" w:hAnsi="Verdana" w:cs="Times New Roman"/>
          <w:sz w:val="22"/>
          <w:szCs w:val="22"/>
        </w:rPr>
        <w:t xml:space="preserve">Annual leave (contractual and statutory) will continue to accrue during periods of sickness absence. It is possible for annual leave to be taken during long term sickness </w:t>
      </w:r>
      <w:r w:rsidR="00762C11" w:rsidRPr="00C61C41">
        <w:rPr>
          <w:rFonts w:ascii="Verdana" w:hAnsi="Verdana" w:cs="Times New Roman"/>
          <w:sz w:val="22"/>
          <w:szCs w:val="22"/>
        </w:rPr>
        <w:t>absence,</w:t>
      </w:r>
      <w:r w:rsidR="00987B63" w:rsidRPr="00C61C41">
        <w:rPr>
          <w:rFonts w:ascii="Verdana" w:hAnsi="Verdana" w:cs="Times New Roman"/>
          <w:sz w:val="22"/>
          <w:szCs w:val="22"/>
        </w:rPr>
        <w:t xml:space="preserve"> provided the request is submitted in writing with sufficient notice in accordance with usual policy. </w:t>
      </w:r>
      <w:r w:rsidR="00341247" w:rsidRPr="00C61C41">
        <w:rPr>
          <w:rFonts w:ascii="Verdana" w:hAnsi="Verdana" w:cs="Times New Roman"/>
          <w:sz w:val="22"/>
          <w:szCs w:val="22"/>
        </w:rPr>
        <w:t>Annual leave should not be used instead of short term sickness absence.</w:t>
      </w:r>
    </w:p>
    <w:p w14:paraId="19C531FC" w14:textId="77777777" w:rsidR="00EC1799" w:rsidRPr="00C61C41" w:rsidRDefault="00EC1799" w:rsidP="00EC1799">
      <w:pPr>
        <w:spacing w:before="100" w:beforeAutospacing="1" w:after="100" w:afterAutospacing="1" w:line="240" w:lineRule="auto"/>
        <w:ind w:left="709" w:hanging="709"/>
        <w:jc w:val="left"/>
        <w:rPr>
          <w:rFonts w:ascii="Verdana" w:hAnsi="Verdana"/>
          <w:sz w:val="22"/>
          <w:szCs w:val="22"/>
        </w:rPr>
      </w:pPr>
      <w:r w:rsidRPr="00C61C41">
        <w:rPr>
          <w:rFonts w:ascii="Verdana" w:hAnsi="Verdana" w:cs="Times New Roman"/>
          <w:sz w:val="22"/>
          <w:szCs w:val="22"/>
        </w:rPr>
        <w:t>12.2</w:t>
      </w:r>
      <w:r w:rsidRPr="00C61C41">
        <w:rPr>
          <w:rFonts w:ascii="Verdana" w:hAnsi="Verdana" w:cs="Times New Roman"/>
          <w:sz w:val="22"/>
          <w:szCs w:val="22"/>
        </w:rPr>
        <w:tab/>
      </w:r>
      <w:r w:rsidR="00987B63" w:rsidRPr="00C61C41">
        <w:rPr>
          <w:rFonts w:ascii="Verdana" w:hAnsi="Verdana" w:cs="Times New Roman"/>
          <w:sz w:val="22"/>
          <w:szCs w:val="22"/>
        </w:rPr>
        <w:t xml:space="preserve">Annual leave </w:t>
      </w:r>
      <w:r w:rsidR="00B86691" w:rsidRPr="00C61C41">
        <w:rPr>
          <w:rFonts w:ascii="Verdana" w:hAnsi="Verdana" w:cs="Times New Roman"/>
          <w:sz w:val="22"/>
          <w:szCs w:val="22"/>
        </w:rPr>
        <w:t xml:space="preserve">for employees who have had short term sickness absence </w:t>
      </w:r>
      <w:r w:rsidR="00987B63" w:rsidRPr="00C61C41">
        <w:rPr>
          <w:rFonts w:ascii="Verdana" w:hAnsi="Verdana" w:cs="Times New Roman"/>
          <w:sz w:val="22"/>
          <w:szCs w:val="22"/>
        </w:rPr>
        <w:t>must be taken in the current holiday year unless permission to carry over leave is sought in writing before the leave year ends</w:t>
      </w:r>
      <w:r w:rsidR="00BA3B89" w:rsidRPr="00C61C41">
        <w:rPr>
          <w:rFonts w:ascii="Verdana" w:hAnsi="Verdana" w:cs="Times New Roman"/>
          <w:sz w:val="22"/>
          <w:szCs w:val="22"/>
        </w:rPr>
        <w:t xml:space="preserve"> on 31</w:t>
      </w:r>
      <w:r w:rsidR="00BA3B89" w:rsidRPr="00C61C41">
        <w:rPr>
          <w:rFonts w:ascii="Verdana" w:hAnsi="Verdana" w:cs="Times New Roman"/>
          <w:sz w:val="22"/>
          <w:szCs w:val="22"/>
          <w:vertAlign w:val="superscript"/>
        </w:rPr>
        <w:t>st</w:t>
      </w:r>
      <w:r w:rsidR="00BA3B89" w:rsidRPr="00C61C41">
        <w:rPr>
          <w:rFonts w:ascii="Verdana" w:hAnsi="Verdana" w:cs="Times New Roman"/>
          <w:sz w:val="22"/>
          <w:szCs w:val="22"/>
        </w:rPr>
        <w:t xml:space="preserve"> March. </w:t>
      </w:r>
      <w:r w:rsidR="00987B63" w:rsidRPr="00C61C41">
        <w:rPr>
          <w:rFonts w:ascii="Verdana" w:hAnsi="Verdana" w:cs="Times New Roman"/>
          <w:sz w:val="22"/>
          <w:szCs w:val="22"/>
        </w:rPr>
        <w:t xml:space="preserve"> Permission to carry over </w:t>
      </w:r>
      <w:r w:rsidR="00BA3B89" w:rsidRPr="00C61C41">
        <w:rPr>
          <w:rFonts w:ascii="Verdana" w:hAnsi="Verdana" w:cs="Times New Roman"/>
          <w:sz w:val="22"/>
          <w:szCs w:val="22"/>
        </w:rPr>
        <w:t xml:space="preserve">leave in excess of 1 week’s contractual </w:t>
      </w:r>
      <w:r w:rsidR="00762C11" w:rsidRPr="00C61C41">
        <w:rPr>
          <w:rFonts w:ascii="Verdana" w:hAnsi="Verdana" w:cs="Times New Roman"/>
          <w:sz w:val="22"/>
          <w:szCs w:val="22"/>
        </w:rPr>
        <w:t>hours will</w:t>
      </w:r>
      <w:r w:rsidR="00987B63" w:rsidRPr="00C61C41">
        <w:rPr>
          <w:rFonts w:ascii="Verdana" w:hAnsi="Verdana" w:cs="Times New Roman"/>
          <w:sz w:val="22"/>
          <w:szCs w:val="22"/>
        </w:rPr>
        <w:t xml:space="preserve"> only be given in exceptional circumstances</w:t>
      </w:r>
      <w:r w:rsidR="00EE1A28" w:rsidRPr="00C61C41">
        <w:rPr>
          <w:rFonts w:ascii="Verdana" w:hAnsi="Verdana" w:cs="Times New Roman"/>
          <w:sz w:val="22"/>
          <w:szCs w:val="22"/>
        </w:rPr>
        <w:t>.</w:t>
      </w:r>
      <w:r w:rsidR="00987B63" w:rsidRPr="00C61C41">
        <w:rPr>
          <w:rFonts w:ascii="Verdana" w:hAnsi="Verdana" w:cs="Times New Roman"/>
          <w:sz w:val="22"/>
          <w:szCs w:val="22"/>
        </w:rPr>
        <w:t xml:space="preserve"> Where permission has been granted to carry forward annual leave, the employee</w:t>
      </w:r>
      <w:r w:rsidR="008C0053" w:rsidRPr="00C61C41">
        <w:rPr>
          <w:rFonts w:ascii="Verdana" w:hAnsi="Verdana" w:cs="Times New Roman"/>
          <w:sz w:val="22"/>
          <w:szCs w:val="22"/>
        </w:rPr>
        <w:t xml:space="preserve"> and manager will agree a plan for using up the excess leave. </w:t>
      </w:r>
      <w:r w:rsidR="00EE1A28" w:rsidRPr="00C61C41">
        <w:rPr>
          <w:rFonts w:ascii="Verdana" w:hAnsi="Verdana"/>
          <w:sz w:val="22"/>
          <w:szCs w:val="22"/>
        </w:rPr>
        <w:t xml:space="preserve"> </w:t>
      </w:r>
    </w:p>
    <w:p w14:paraId="3D1B4A04" w14:textId="77777777" w:rsidR="00987B63" w:rsidRPr="000F0102" w:rsidRDefault="00EC1799" w:rsidP="00762C11">
      <w:pPr>
        <w:spacing w:before="100" w:beforeAutospacing="1" w:after="100" w:afterAutospacing="1" w:line="240" w:lineRule="auto"/>
        <w:ind w:left="709" w:hanging="709"/>
        <w:jc w:val="left"/>
        <w:rPr>
          <w:rFonts w:ascii="Verdana" w:hAnsi="Verdana" w:cs="Times New Roman"/>
          <w:sz w:val="22"/>
          <w:szCs w:val="22"/>
        </w:rPr>
      </w:pPr>
      <w:r w:rsidRPr="00C61C41">
        <w:rPr>
          <w:rFonts w:ascii="Verdana" w:hAnsi="Verdana"/>
          <w:sz w:val="22"/>
          <w:szCs w:val="22"/>
        </w:rPr>
        <w:t>12.3</w:t>
      </w:r>
      <w:r w:rsidRPr="00C61C41">
        <w:rPr>
          <w:rFonts w:ascii="Verdana" w:hAnsi="Verdana"/>
          <w:sz w:val="22"/>
          <w:szCs w:val="22"/>
        </w:rPr>
        <w:tab/>
      </w:r>
      <w:r w:rsidR="00674191" w:rsidRPr="00C61C41">
        <w:rPr>
          <w:rFonts w:ascii="Verdana" w:hAnsi="Verdana"/>
          <w:sz w:val="22"/>
          <w:szCs w:val="22"/>
        </w:rPr>
        <w:t>E</w:t>
      </w:r>
      <w:r w:rsidR="00EE1A28" w:rsidRPr="00C61C41">
        <w:rPr>
          <w:rFonts w:ascii="Verdana" w:hAnsi="Verdana"/>
          <w:sz w:val="22"/>
          <w:szCs w:val="22"/>
        </w:rPr>
        <w:t xml:space="preserve">mployees </w:t>
      </w:r>
      <w:r w:rsidR="00341247" w:rsidRPr="00C61C41">
        <w:rPr>
          <w:rFonts w:ascii="Verdana" w:hAnsi="Verdana"/>
          <w:sz w:val="22"/>
          <w:szCs w:val="22"/>
        </w:rPr>
        <w:t>whose long</w:t>
      </w:r>
      <w:r w:rsidR="00AF4BB1" w:rsidRPr="00C61C41">
        <w:rPr>
          <w:rFonts w:ascii="Verdana" w:hAnsi="Verdana"/>
          <w:sz w:val="22"/>
          <w:szCs w:val="22"/>
        </w:rPr>
        <w:t xml:space="preserve"> term sickness absence</w:t>
      </w:r>
      <w:r w:rsidR="00297A08" w:rsidRPr="00C61C41">
        <w:rPr>
          <w:rFonts w:ascii="Verdana" w:hAnsi="Verdana"/>
          <w:sz w:val="22"/>
          <w:szCs w:val="22"/>
        </w:rPr>
        <w:t xml:space="preserve"> has prevented them from using their </w:t>
      </w:r>
      <w:r w:rsidR="00EE1A28" w:rsidRPr="00C61C41">
        <w:rPr>
          <w:rFonts w:ascii="Verdana" w:hAnsi="Verdana"/>
          <w:sz w:val="22"/>
          <w:szCs w:val="22"/>
        </w:rPr>
        <w:t xml:space="preserve">annual leave will be able to carry forward their unused statutory holiday entitlement </w:t>
      </w:r>
      <w:r w:rsidR="00947DFB" w:rsidRPr="00C61C41">
        <w:rPr>
          <w:rFonts w:ascii="Verdana" w:hAnsi="Verdana"/>
          <w:sz w:val="22"/>
          <w:szCs w:val="22"/>
        </w:rPr>
        <w:t xml:space="preserve">(up to </w:t>
      </w:r>
      <w:r w:rsidRPr="00C61C41">
        <w:rPr>
          <w:rFonts w:ascii="Verdana" w:hAnsi="Verdana"/>
          <w:sz w:val="22"/>
          <w:szCs w:val="22"/>
        </w:rPr>
        <w:t xml:space="preserve">20 days) </w:t>
      </w:r>
      <w:r w:rsidR="00971B16" w:rsidRPr="00C61C41">
        <w:rPr>
          <w:rFonts w:ascii="Verdana" w:hAnsi="Verdana"/>
          <w:sz w:val="22"/>
          <w:szCs w:val="22"/>
        </w:rPr>
        <w:t>from one leave year to the next.</w:t>
      </w:r>
      <w:r w:rsidR="00971B16" w:rsidRPr="00341247">
        <w:rPr>
          <w:rFonts w:ascii="Verdana" w:hAnsi="Verdana"/>
          <w:sz w:val="22"/>
          <w:szCs w:val="22"/>
        </w:rPr>
        <w:t xml:space="preserve"> </w:t>
      </w:r>
    </w:p>
    <w:p w14:paraId="5AF36181" w14:textId="77777777" w:rsidR="00987B63" w:rsidRPr="0051669E" w:rsidRDefault="00987B63" w:rsidP="00BB1A5A">
      <w:pPr>
        <w:pStyle w:val="Heading1"/>
      </w:pPr>
      <w:r w:rsidRPr="0051669E">
        <w:t>Travelling (in the UK or abroad) during sickness absence</w:t>
      </w:r>
      <w:r w:rsidR="000F0102">
        <w:br/>
      </w:r>
    </w:p>
    <w:p w14:paraId="45F07AD6" w14:textId="77777777" w:rsidR="00987B63" w:rsidRPr="00BB1A5A"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B1A5A">
        <w:rPr>
          <w:rFonts w:ascii="Verdana" w:hAnsi="Verdana" w:cs="Times New Roman"/>
          <w:sz w:val="22"/>
          <w:szCs w:val="22"/>
        </w:rPr>
        <w:t>During sickness absence employees are required to advise Barnardo's before travelling within the UK or abroad.</w:t>
      </w:r>
      <w:r w:rsidR="000F0102" w:rsidRPr="00BB1A5A">
        <w:rPr>
          <w:rFonts w:ascii="Verdana" w:hAnsi="Verdana" w:cs="Times New Roman"/>
          <w:sz w:val="22"/>
          <w:szCs w:val="22"/>
        </w:rPr>
        <w:br/>
      </w:r>
    </w:p>
    <w:p w14:paraId="35A54FF1" w14:textId="77777777" w:rsidR="00987B63" w:rsidRPr="0051669E" w:rsidRDefault="00987B63" w:rsidP="00BB1A5A">
      <w:pPr>
        <w:pStyle w:val="Heading1"/>
      </w:pPr>
      <w:r w:rsidRPr="0051669E">
        <w:t>Impact upon discretionary sickness payments</w:t>
      </w:r>
      <w:r w:rsidR="000F0102">
        <w:br/>
      </w:r>
    </w:p>
    <w:p w14:paraId="21F88F1E" w14:textId="77777777" w:rsidR="00987B63" w:rsidRPr="00BB1A5A" w:rsidRDefault="00987B63"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B1A5A">
        <w:rPr>
          <w:rFonts w:ascii="Verdana" w:hAnsi="Verdana" w:cs="Times New Roman"/>
          <w:sz w:val="22"/>
          <w:szCs w:val="22"/>
        </w:rPr>
        <w:t>If employees do not keep in contact with Barnardo’s as required, or travel without agreement, this can impact upon discretionary sickness payments and may result in payments being withheld.</w:t>
      </w:r>
      <w:r w:rsidR="000F0102" w:rsidRPr="00BB1A5A">
        <w:rPr>
          <w:rFonts w:ascii="Verdana" w:hAnsi="Verdana" w:cs="Times New Roman"/>
          <w:sz w:val="22"/>
          <w:szCs w:val="22"/>
        </w:rPr>
        <w:br/>
      </w:r>
    </w:p>
    <w:p w14:paraId="57973F13" w14:textId="77777777" w:rsidR="00412372" w:rsidRPr="001735FB" w:rsidRDefault="00412372" w:rsidP="00BB1A5A">
      <w:pPr>
        <w:pStyle w:val="Heading1"/>
      </w:pPr>
      <w:r w:rsidRPr="001735FB">
        <w:t>Impact of sickness absence on pensions</w:t>
      </w:r>
      <w:r w:rsidR="000F0102">
        <w:br/>
      </w:r>
    </w:p>
    <w:p w14:paraId="605B9930" w14:textId="77777777" w:rsidR="00412372" w:rsidRPr="00BB1A5A" w:rsidRDefault="00412372" w:rsidP="00BB1A5A">
      <w:pPr>
        <w:pStyle w:val="ListParagraph"/>
        <w:numPr>
          <w:ilvl w:val="1"/>
          <w:numId w:val="12"/>
        </w:numPr>
        <w:spacing w:before="100" w:beforeAutospacing="1" w:after="100" w:afterAutospacing="1" w:line="240" w:lineRule="auto"/>
        <w:ind w:left="709"/>
        <w:jc w:val="left"/>
        <w:rPr>
          <w:rFonts w:ascii="Verdana" w:hAnsi="Verdana" w:cs="Times New Roman"/>
          <w:sz w:val="22"/>
          <w:szCs w:val="22"/>
        </w:rPr>
      </w:pPr>
      <w:r w:rsidRPr="00BB1A5A">
        <w:rPr>
          <w:rFonts w:ascii="Verdana" w:hAnsi="Verdana" w:cs="Times New Roman"/>
          <w:sz w:val="22"/>
          <w:szCs w:val="22"/>
        </w:rPr>
        <w:t>Member</w:t>
      </w:r>
      <w:r w:rsidR="0055200C" w:rsidRPr="00BB1A5A">
        <w:rPr>
          <w:rFonts w:ascii="Verdana" w:hAnsi="Verdana" w:cs="Times New Roman"/>
          <w:sz w:val="22"/>
          <w:szCs w:val="22"/>
        </w:rPr>
        <w:t>s</w:t>
      </w:r>
      <w:r w:rsidRPr="00BB1A5A">
        <w:rPr>
          <w:rFonts w:ascii="Verdana" w:hAnsi="Verdana" w:cs="Times New Roman"/>
          <w:sz w:val="22"/>
          <w:szCs w:val="22"/>
        </w:rPr>
        <w:t xml:space="preserve"> of the Barnardo’s stakeholder pension scheme will pay pro rata pension contributions during any periods of sickness absence that are on reduced pay or no pay and </w:t>
      </w:r>
      <w:r w:rsidR="0055200C" w:rsidRPr="00BB1A5A">
        <w:rPr>
          <w:rFonts w:ascii="Verdana" w:hAnsi="Verdana" w:cs="Times New Roman"/>
          <w:sz w:val="22"/>
          <w:szCs w:val="22"/>
        </w:rPr>
        <w:t>B</w:t>
      </w:r>
      <w:r w:rsidRPr="00BB1A5A">
        <w:rPr>
          <w:rFonts w:ascii="Verdana" w:hAnsi="Verdana" w:cs="Times New Roman"/>
          <w:sz w:val="22"/>
          <w:szCs w:val="22"/>
        </w:rPr>
        <w:t xml:space="preserve">arnardo’s will do the same. </w:t>
      </w:r>
    </w:p>
    <w:p w14:paraId="3510A5BF" w14:textId="77777777" w:rsidR="0061694A" w:rsidRPr="001735FB" w:rsidRDefault="0061694A" w:rsidP="00E64EAC">
      <w:pPr>
        <w:pStyle w:val="Heading4"/>
        <w:rPr>
          <w:sz w:val="22"/>
          <w:szCs w:val="22"/>
          <w:lang w:eastAsia="en-US"/>
        </w:rPr>
      </w:pPr>
      <w:r w:rsidRPr="001735FB">
        <w:rPr>
          <w:sz w:val="22"/>
          <w:szCs w:val="22"/>
          <w:lang w:eastAsia="en-US"/>
        </w:rPr>
        <w:t>Associated guidance and documents</w:t>
      </w:r>
    </w:p>
    <w:p w14:paraId="5AB36C06" w14:textId="77777777" w:rsidR="0061694A" w:rsidRPr="001735FB" w:rsidRDefault="00542863" w:rsidP="00BB1A5A">
      <w:pPr>
        <w:pStyle w:val="ListParagraph"/>
        <w:numPr>
          <w:ilvl w:val="0"/>
          <w:numId w:val="11"/>
        </w:numPr>
        <w:spacing w:before="0" w:after="0" w:line="276" w:lineRule="auto"/>
        <w:jc w:val="left"/>
        <w:rPr>
          <w:rFonts w:ascii="Verdana" w:eastAsia="Calibri" w:hAnsi="Verdana"/>
          <w:sz w:val="22"/>
          <w:szCs w:val="22"/>
          <w:lang w:eastAsia="en-US"/>
        </w:rPr>
      </w:pPr>
      <w:r w:rsidRPr="001735FB">
        <w:rPr>
          <w:rFonts w:ascii="Verdana" w:eastAsia="Calibri" w:hAnsi="Verdana"/>
          <w:sz w:val="22"/>
          <w:szCs w:val="22"/>
          <w:lang w:eastAsia="en-US"/>
        </w:rPr>
        <w:t>Self/GP</w:t>
      </w:r>
      <w:r w:rsidR="003D5C14" w:rsidRPr="001735FB">
        <w:rPr>
          <w:rFonts w:ascii="Verdana" w:eastAsia="Calibri" w:hAnsi="Verdana"/>
          <w:sz w:val="22"/>
          <w:szCs w:val="22"/>
          <w:lang w:eastAsia="en-US"/>
        </w:rPr>
        <w:t xml:space="preserve"> </w:t>
      </w:r>
      <w:r w:rsidRPr="001735FB">
        <w:rPr>
          <w:rFonts w:ascii="Verdana" w:eastAsia="Calibri" w:hAnsi="Verdana"/>
          <w:sz w:val="22"/>
          <w:szCs w:val="22"/>
          <w:lang w:eastAsia="en-US"/>
        </w:rPr>
        <w:t>certification return to work form</w:t>
      </w:r>
    </w:p>
    <w:p w14:paraId="304401A4" w14:textId="77777777" w:rsidR="00542863" w:rsidRPr="001735FB" w:rsidRDefault="00542863" w:rsidP="00BB1A5A">
      <w:pPr>
        <w:pStyle w:val="ListParagraph"/>
        <w:numPr>
          <w:ilvl w:val="0"/>
          <w:numId w:val="11"/>
        </w:numPr>
        <w:spacing w:before="0" w:after="0" w:line="276" w:lineRule="auto"/>
        <w:jc w:val="left"/>
        <w:rPr>
          <w:rFonts w:ascii="Verdana" w:eastAsia="Calibri" w:hAnsi="Verdana"/>
          <w:sz w:val="22"/>
          <w:szCs w:val="22"/>
          <w:lang w:eastAsia="en-US"/>
        </w:rPr>
      </w:pPr>
      <w:r w:rsidRPr="001735FB">
        <w:rPr>
          <w:rFonts w:ascii="Verdana" w:eastAsia="Calibri" w:hAnsi="Verdana"/>
          <w:sz w:val="22"/>
          <w:szCs w:val="22"/>
          <w:lang w:eastAsia="en-US"/>
        </w:rPr>
        <w:t>Short term absence flowchart</w:t>
      </w:r>
    </w:p>
    <w:p w14:paraId="3BFFB3CA" w14:textId="77777777" w:rsidR="00542863" w:rsidRPr="001735FB" w:rsidRDefault="00542863" w:rsidP="00BB1A5A">
      <w:pPr>
        <w:pStyle w:val="ListParagraph"/>
        <w:numPr>
          <w:ilvl w:val="0"/>
          <w:numId w:val="11"/>
        </w:numPr>
        <w:spacing w:before="0" w:after="0" w:line="276" w:lineRule="auto"/>
        <w:jc w:val="left"/>
        <w:rPr>
          <w:rFonts w:ascii="Verdana" w:eastAsia="Calibri" w:hAnsi="Verdana"/>
          <w:sz w:val="22"/>
          <w:szCs w:val="22"/>
          <w:lang w:eastAsia="en-US"/>
        </w:rPr>
      </w:pPr>
      <w:r w:rsidRPr="001735FB">
        <w:rPr>
          <w:rFonts w:ascii="Verdana" w:eastAsia="Calibri" w:hAnsi="Verdana"/>
          <w:sz w:val="22"/>
          <w:szCs w:val="22"/>
          <w:lang w:eastAsia="en-US"/>
        </w:rPr>
        <w:t>Long term absence flowchart</w:t>
      </w:r>
    </w:p>
    <w:p w14:paraId="5BA12399" w14:textId="77777777" w:rsidR="00542863" w:rsidRPr="001735FB" w:rsidRDefault="00542863" w:rsidP="00BB1A5A">
      <w:pPr>
        <w:pStyle w:val="ListParagraph"/>
        <w:numPr>
          <w:ilvl w:val="0"/>
          <w:numId w:val="11"/>
        </w:numPr>
        <w:spacing w:before="0" w:after="0" w:line="276" w:lineRule="auto"/>
        <w:jc w:val="left"/>
        <w:rPr>
          <w:rFonts w:ascii="Verdana" w:eastAsia="Calibri" w:hAnsi="Verdana"/>
          <w:sz w:val="22"/>
          <w:szCs w:val="22"/>
          <w:lang w:eastAsia="en-US"/>
        </w:rPr>
      </w:pPr>
      <w:r w:rsidRPr="001735FB">
        <w:rPr>
          <w:rFonts w:ascii="Verdana" w:eastAsia="Calibri" w:hAnsi="Verdana"/>
          <w:sz w:val="22"/>
          <w:szCs w:val="22"/>
          <w:lang w:eastAsia="en-US"/>
        </w:rPr>
        <w:t>Sickness payment schemes</w:t>
      </w:r>
    </w:p>
    <w:p w14:paraId="4FDF8EE8" w14:textId="77777777" w:rsidR="0055200C" w:rsidRPr="001735FB" w:rsidRDefault="0055200C" w:rsidP="00BB1A5A">
      <w:pPr>
        <w:pStyle w:val="ListParagraph"/>
        <w:numPr>
          <w:ilvl w:val="0"/>
          <w:numId w:val="11"/>
        </w:numPr>
        <w:spacing w:before="0" w:after="0" w:line="276" w:lineRule="auto"/>
        <w:jc w:val="left"/>
        <w:rPr>
          <w:rFonts w:ascii="Verdana" w:eastAsia="Calibri" w:hAnsi="Verdana"/>
          <w:sz w:val="22"/>
          <w:szCs w:val="22"/>
          <w:lang w:eastAsia="en-US"/>
        </w:rPr>
      </w:pPr>
      <w:r w:rsidRPr="001735FB">
        <w:rPr>
          <w:rFonts w:ascii="Verdana" w:eastAsia="Calibri" w:hAnsi="Verdana"/>
          <w:sz w:val="22"/>
          <w:szCs w:val="22"/>
          <w:lang w:eastAsia="en-US"/>
        </w:rPr>
        <w:t>Accompaniment (additional information sheet)</w:t>
      </w:r>
    </w:p>
    <w:p w14:paraId="4E7A2A74" w14:textId="77777777" w:rsidR="0055200C" w:rsidRDefault="0055200C" w:rsidP="00BB1A5A">
      <w:pPr>
        <w:pStyle w:val="ListParagraph"/>
        <w:numPr>
          <w:ilvl w:val="0"/>
          <w:numId w:val="11"/>
        </w:numPr>
        <w:spacing w:before="0" w:after="0" w:line="240" w:lineRule="auto"/>
        <w:ind w:left="714" w:hanging="357"/>
        <w:jc w:val="left"/>
        <w:rPr>
          <w:rFonts w:ascii="Verdana" w:eastAsia="Calibri" w:hAnsi="Verdana"/>
          <w:sz w:val="22"/>
          <w:szCs w:val="22"/>
          <w:lang w:eastAsia="en-US"/>
        </w:rPr>
      </w:pPr>
      <w:r w:rsidRPr="001735FB">
        <w:rPr>
          <w:rFonts w:ascii="Verdana" w:eastAsia="Calibri" w:hAnsi="Verdana"/>
          <w:sz w:val="22"/>
          <w:szCs w:val="22"/>
          <w:lang w:eastAsia="en-US"/>
        </w:rPr>
        <w:lastRenderedPageBreak/>
        <w:t>Equality &amp; Diversity Good Practice</w:t>
      </w:r>
      <w:r w:rsidR="00AA0EC9">
        <w:rPr>
          <w:rFonts w:ascii="Verdana" w:eastAsia="Calibri" w:hAnsi="Verdana"/>
          <w:sz w:val="22"/>
          <w:szCs w:val="22"/>
          <w:lang w:eastAsia="en-US"/>
        </w:rPr>
        <w:t xml:space="preserve">s </w:t>
      </w:r>
      <w:r w:rsidR="00AB021D">
        <w:rPr>
          <w:rFonts w:ascii="Verdana" w:eastAsia="Calibri" w:hAnsi="Verdana"/>
          <w:sz w:val="22"/>
          <w:szCs w:val="22"/>
          <w:lang w:eastAsia="en-US"/>
        </w:rPr>
        <w:t xml:space="preserve">Guides </w:t>
      </w:r>
      <w:r w:rsidR="00AA0EC9">
        <w:rPr>
          <w:rFonts w:ascii="Verdana" w:eastAsia="Calibri" w:hAnsi="Verdana"/>
          <w:sz w:val="22"/>
          <w:szCs w:val="22"/>
          <w:lang w:eastAsia="en-US"/>
        </w:rPr>
        <w:t>in relation to</w:t>
      </w:r>
      <w:r w:rsidR="00387934">
        <w:rPr>
          <w:rFonts w:ascii="Verdana" w:eastAsia="Calibri" w:hAnsi="Verdana"/>
          <w:sz w:val="22"/>
          <w:szCs w:val="22"/>
          <w:lang w:eastAsia="en-US"/>
        </w:rPr>
        <w:t xml:space="preserve"> Transgender and</w:t>
      </w:r>
      <w:r w:rsidR="00AA0EC9">
        <w:rPr>
          <w:rFonts w:ascii="Verdana" w:eastAsia="Calibri" w:hAnsi="Verdana"/>
          <w:sz w:val="22"/>
          <w:szCs w:val="22"/>
          <w:lang w:eastAsia="en-US"/>
        </w:rPr>
        <w:t xml:space="preserve"> </w:t>
      </w:r>
      <w:r w:rsidR="004D357A">
        <w:rPr>
          <w:rFonts w:ascii="Verdana" w:eastAsia="Calibri" w:hAnsi="Verdana"/>
          <w:sz w:val="22"/>
          <w:szCs w:val="22"/>
          <w:lang w:eastAsia="en-US"/>
        </w:rPr>
        <w:t xml:space="preserve">a </w:t>
      </w:r>
      <w:r w:rsidR="00387934">
        <w:rPr>
          <w:rFonts w:ascii="Verdana" w:eastAsia="Calibri" w:hAnsi="Verdana"/>
          <w:sz w:val="22"/>
          <w:szCs w:val="22"/>
          <w:lang w:eastAsia="en-US"/>
        </w:rPr>
        <w:t>D</w:t>
      </w:r>
      <w:r w:rsidR="00AA0EC9" w:rsidRPr="00AB021D">
        <w:rPr>
          <w:rFonts w:ascii="Verdana" w:eastAsia="Calibri" w:hAnsi="Verdana"/>
          <w:sz w:val="22"/>
          <w:szCs w:val="22"/>
          <w:lang w:eastAsia="en-US"/>
        </w:rPr>
        <w:t xml:space="preserve">isability, </w:t>
      </w:r>
      <w:r w:rsidR="00387934">
        <w:rPr>
          <w:rFonts w:ascii="Verdana" w:eastAsia="Calibri" w:hAnsi="Verdana"/>
          <w:sz w:val="22"/>
          <w:szCs w:val="22"/>
          <w:lang w:eastAsia="en-US"/>
        </w:rPr>
        <w:t>I</w:t>
      </w:r>
      <w:r w:rsidR="00AA0EC9" w:rsidRPr="00AB021D">
        <w:rPr>
          <w:rFonts w:ascii="Verdana" w:eastAsia="Calibri" w:hAnsi="Verdana"/>
          <w:sz w:val="22"/>
          <w:szCs w:val="22"/>
          <w:lang w:eastAsia="en-US"/>
        </w:rPr>
        <w:t xml:space="preserve">mpairment, </w:t>
      </w:r>
      <w:r w:rsidR="00387934">
        <w:rPr>
          <w:rFonts w:ascii="Verdana" w:eastAsia="Calibri" w:hAnsi="Verdana"/>
          <w:sz w:val="22"/>
          <w:szCs w:val="22"/>
          <w:lang w:eastAsia="en-US"/>
        </w:rPr>
        <w:t>M</w:t>
      </w:r>
      <w:r w:rsidR="00AA0EC9">
        <w:rPr>
          <w:rFonts w:ascii="Verdana" w:eastAsia="Calibri" w:hAnsi="Verdana"/>
          <w:sz w:val="22"/>
          <w:szCs w:val="22"/>
          <w:lang w:eastAsia="en-US"/>
        </w:rPr>
        <w:t xml:space="preserve">ental </w:t>
      </w:r>
      <w:r w:rsidR="00AA0EC9" w:rsidRPr="00AB021D">
        <w:rPr>
          <w:rFonts w:ascii="Verdana" w:eastAsia="Calibri" w:hAnsi="Verdana"/>
          <w:sz w:val="22"/>
          <w:szCs w:val="22"/>
          <w:lang w:eastAsia="en-US"/>
        </w:rPr>
        <w:t xml:space="preserve">or </w:t>
      </w:r>
      <w:r w:rsidR="00387934">
        <w:rPr>
          <w:rFonts w:ascii="Verdana" w:eastAsia="Calibri" w:hAnsi="Verdana"/>
          <w:sz w:val="22"/>
          <w:szCs w:val="22"/>
          <w:lang w:eastAsia="en-US"/>
        </w:rPr>
        <w:t>P</w:t>
      </w:r>
      <w:r w:rsidR="00AB021D">
        <w:rPr>
          <w:rFonts w:ascii="Verdana" w:eastAsia="Calibri" w:hAnsi="Verdana"/>
          <w:sz w:val="22"/>
          <w:szCs w:val="22"/>
          <w:lang w:eastAsia="en-US"/>
        </w:rPr>
        <w:t xml:space="preserve">hysical </w:t>
      </w:r>
      <w:r w:rsidR="00387934">
        <w:rPr>
          <w:rFonts w:ascii="Verdana" w:eastAsia="Calibri" w:hAnsi="Verdana"/>
          <w:sz w:val="22"/>
          <w:szCs w:val="22"/>
          <w:lang w:eastAsia="en-US"/>
        </w:rPr>
        <w:t>H</w:t>
      </w:r>
      <w:r w:rsidR="00AA0EC9" w:rsidRPr="00AB021D">
        <w:rPr>
          <w:rFonts w:ascii="Verdana" w:eastAsia="Calibri" w:hAnsi="Verdana"/>
          <w:sz w:val="22"/>
          <w:szCs w:val="22"/>
          <w:lang w:eastAsia="en-US"/>
        </w:rPr>
        <w:t xml:space="preserve">ealth </w:t>
      </w:r>
      <w:r w:rsidR="00387934">
        <w:rPr>
          <w:rFonts w:ascii="Verdana" w:eastAsia="Calibri" w:hAnsi="Verdana"/>
          <w:sz w:val="22"/>
          <w:szCs w:val="22"/>
          <w:lang w:eastAsia="en-US"/>
        </w:rPr>
        <w:t>C</w:t>
      </w:r>
      <w:r w:rsidR="00AA0EC9" w:rsidRPr="00AB021D">
        <w:rPr>
          <w:rFonts w:ascii="Verdana" w:eastAsia="Calibri" w:hAnsi="Verdana"/>
          <w:sz w:val="22"/>
          <w:szCs w:val="22"/>
          <w:lang w:eastAsia="en-US"/>
        </w:rPr>
        <w:t>ondition</w:t>
      </w:r>
      <w:r w:rsidRPr="001735FB">
        <w:rPr>
          <w:rFonts w:ascii="Verdana" w:eastAsia="Calibri" w:hAnsi="Verdana"/>
          <w:sz w:val="22"/>
          <w:szCs w:val="22"/>
          <w:lang w:eastAsia="en-US"/>
        </w:rPr>
        <w:t xml:space="preserve"> </w:t>
      </w:r>
      <w:r w:rsidR="00AA0EC9">
        <w:rPr>
          <w:rFonts w:ascii="Verdana" w:eastAsia="Calibri" w:hAnsi="Verdana"/>
          <w:sz w:val="22"/>
          <w:szCs w:val="22"/>
          <w:lang w:eastAsia="en-US"/>
        </w:rPr>
        <w:t xml:space="preserve">including </w:t>
      </w:r>
      <w:r w:rsidR="00AB021D">
        <w:rPr>
          <w:rFonts w:ascii="Verdana" w:eastAsia="Calibri" w:hAnsi="Verdana"/>
          <w:sz w:val="22"/>
          <w:szCs w:val="22"/>
          <w:lang w:eastAsia="en-US"/>
        </w:rPr>
        <w:t>–</w:t>
      </w:r>
      <w:r w:rsidR="004C45A9">
        <w:rPr>
          <w:rFonts w:ascii="Verdana" w:eastAsia="Calibri" w:hAnsi="Verdana"/>
          <w:sz w:val="22"/>
          <w:szCs w:val="22"/>
          <w:lang w:eastAsia="en-US"/>
        </w:rPr>
        <w:t xml:space="preserve"> </w:t>
      </w:r>
      <w:r w:rsidR="00AB021D">
        <w:rPr>
          <w:rFonts w:ascii="Verdana" w:eastAsia="Calibri" w:hAnsi="Verdana"/>
          <w:sz w:val="22"/>
          <w:szCs w:val="22"/>
          <w:lang w:eastAsia="en-US"/>
        </w:rPr>
        <w:t xml:space="preserve">Guidance on </w:t>
      </w:r>
      <w:r w:rsidR="00387934">
        <w:rPr>
          <w:rFonts w:ascii="Verdana" w:eastAsia="Calibri" w:hAnsi="Verdana"/>
          <w:sz w:val="22"/>
          <w:szCs w:val="22"/>
          <w:lang w:eastAsia="en-US"/>
        </w:rPr>
        <w:t xml:space="preserve">the </w:t>
      </w:r>
      <w:r w:rsidR="004C45A9">
        <w:rPr>
          <w:rFonts w:ascii="Verdana" w:eastAsia="Calibri" w:hAnsi="Verdana"/>
          <w:sz w:val="22"/>
          <w:szCs w:val="22"/>
          <w:lang w:eastAsia="en-US"/>
        </w:rPr>
        <w:t>Access to Work</w:t>
      </w:r>
      <w:r w:rsidR="00AA0EC9">
        <w:rPr>
          <w:rFonts w:ascii="Verdana" w:eastAsia="Calibri" w:hAnsi="Verdana"/>
          <w:sz w:val="22"/>
          <w:szCs w:val="22"/>
          <w:lang w:eastAsia="en-US"/>
        </w:rPr>
        <w:t xml:space="preserve"> Scheme</w:t>
      </w:r>
    </w:p>
    <w:p w14:paraId="3FBB8B9E" w14:textId="77777777" w:rsidR="001B0805" w:rsidRPr="001735FB" w:rsidRDefault="001B0805" w:rsidP="00BB1A5A">
      <w:pPr>
        <w:pStyle w:val="ListParagraph"/>
        <w:numPr>
          <w:ilvl w:val="0"/>
          <w:numId w:val="11"/>
        </w:numPr>
        <w:spacing w:before="0" w:after="0" w:line="240" w:lineRule="auto"/>
        <w:ind w:left="714" w:hanging="357"/>
        <w:jc w:val="left"/>
        <w:rPr>
          <w:rFonts w:ascii="Verdana" w:eastAsia="Calibri" w:hAnsi="Verdana"/>
          <w:sz w:val="22"/>
          <w:szCs w:val="22"/>
          <w:lang w:eastAsia="en-US"/>
        </w:rPr>
      </w:pPr>
      <w:r>
        <w:rPr>
          <w:rFonts w:ascii="Verdana" w:eastAsia="Calibri" w:hAnsi="Verdana"/>
          <w:sz w:val="22"/>
          <w:szCs w:val="22"/>
          <w:lang w:eastAsia="en-US"/>
        </w:rPr>
        <w:t>Mental health at work - a</w:t>
      </w:r>
      <w:r w:rsidRPr="001B0805">
        <w:rPr>
          <w:rFonts w:ascii="Verdana" w:eastAsia="Calibri" w:hAnsi="Verdana"/>
          <w:sz w:val="22"/>
          <w:szCs w:val="22"/>
          <w:lang w:eastAsia="en-US"/>
        </w:rPr>
        <w:t xml:space="preserve"> range of resources and websites related to mental health at work</w:t>
      </w:r>
    </w:p>
    <w:p w14:paraId="18E80052" w14:textId="77777777" w:rsidR="00D260D8" w:rsidRPr="001735FB" w:rsidRDefault="00D260D8" w:rsidP="00E64EAC">
      <w:pPr>
        <w:pStyle w:val="Heading4"/>
        <w:rPr>
          <w:sz w:val="22"/>
          <w:szCs w:val="22"/>
          <w:lang w:eastAsia="en-US"/>
        </w:rPr>
      </w:pPr>
      <w:r w:rsidRPr="001735FB">
        <w:rPr>
          <w:sz w:val="22"/>
          <w:szCs w:val="22"/>
          <w:lang w:eastAsia="en-US"/>
        </w:rPr>
        <w:t>References</w:t>
      </w:r>
    </w:p>
    <w:p w14:paraId="17610E0D" w14:textId="77777777" w:rsidR="00D260D8" w:rsidRPr="001735FB" w:rsidRDefault="00542863" w:rsidP="001735FB">
      <w:pPr>
        <w:spacing w:before="0" w:after="0" w:line="240" w:lineRule="auto"/>
        <w:jc w:val="left"/>
        <w:rPr>
          <w:rFonts w:ascii="Verdana" w:hAnsi="Verdana"/>
          <w:sz w:val="22"/>
          <w:szCs w:val="22"/>
        </w:rPr>
      </w:pPr>
      <w:r w:rsidRPr="001735FB">
        <w:rPr>
          <w:rFonts w:ascii="Verdana" w:hAnsi="Verdana"/>
          <w:sz w:val="22"/>
          <w:szCs w:val="22"/>
        </w:rPr>
        <w:t xml:space="preserve">Social </w:t>
      </w:r>
      <w:r w:rsidR="003937ED" w:rsidRPr="001735FB">
        <w:rPr>
          <w:rFonts w:ascii="Verdana" w:hAnsi="Verdana"/>
          <w:sz w:val="22"/>
          <w:szCs w:val="22"/>
        </w:rPr>
        <w:t>S</w:t>
      </w:r>
      <w:r w:rsidRPr="001735FB">
        <w:rPr>
          <w:rFonts w:ascii="Verdana" w:hAnsi="Verdana"/>
          <w:sz w:val="22"/>
          <w:szCs w:val="22"/>
        </w:rPr>
        <w:t xml:space="preserve">ecurity </w:t>
      </w:r>
      <w:r w:rsidR="003937ED" w:rsidRPr="001735FB">
        <w:rPr>
          <w:rFonts w:ascii="Verdana" w:hAnsi="Verdana"/>
          <w:sz w:val="22"/>
          <w:szCs w:val="22"/>
        </w:rPr>
        <w:t>A</w:t>
      </w:r>
      <w:r w:rsidRPr="001735FB">
        <w:rPr>
          <w:rFonts w:ascii="Verdana" w:hAnsi="Verdana"/>
          <w:sz w:val="22"/>
          <w:szCs w:val="22"/>
        </w:rPr>
        <w:t>dministration Act 1992</w:t>
      </w:r>
    </w:p>
    <w:p w14:paraId="0164CE69" w14:textId="77777777" w:rsidR="00542863" w:rsidRPr="001735FB" w:rsidRDefault="00542863" w:rsidP="001735FB">
      <w:pPr>
        <w:spacing w:before="0" w:after="0" w:line="240" w:lineRule="auto"/>
        <w:jc w:val="left"/>
        <w:rPr>
          <w:rFonts w:ascii="Verdana" w:hAnsi="Verdana"/>
          <w:sz w:val="22"/>
          <w:szCs w:val="22"/>
        </w:rPr>
      </w:pPr>
      <w:r w:rsidRPr="001735FB">
        <w:rPr>
          <w:rFonts w:ascii="Verdana" w:hAnsi="Verdana"/>
          <w:sz w:val="22"/>
          <w:szCs w:val="22"/>
        </w:rPr>
        <w:t>Employment Rights Act 1996</w:t>
      </w:r>
    </w:p>
    <w:p w14:paraId="134F42C7" w14:textId="77777777" w:rsidR="00542863" w:rsidRPr="001735FB" w:rsidRDefault="003937ED" w:rsidP="001735FB">
      <w:pPr>
        <w:spacing w:before="0" w:after="0" w:line="240" w:lineRule="auto"/>
        <w:jc w:val="left"/>
        <w:rPr>
          <w:rFonts w:ascii="Verdana" w:hAnsi="Verdana"/>
          <w:sz w:val="22"/>
          <w:szCs w:val="22"/>
        </w:rPr>
      </w:pPr>
      <w:r w:rsidRPr="001735FB">
        <w:rPr>
          <w:rFonts w:ascii="Verdana" w:hAnsi="Verdana"/>
          <w:sz w:val="22"/>
          <w:szCs w:val="22"/>
        </w:rPr>
        <w:t>Working</w:t>
      </w:r>
      <w:r w:rsidR="00542863" w:rsidRPr="001735FB">
        <w:rPr>
          <w:rFonts w:ascii="Verdana" w:hAnsi="Verdana"/>
          <w:sz w:val="22"/>
          <w:szCs w:val="22"/>
        </w:rPr>
        <w:t xml:space="preserve"> </w:t>
      </w:r>
      <w:r w:rsidRPr="001735FB">
        <w:rPr>
          <w:rFonts w:ascii="Verdana" w:hAnsi="Verdana"/>
          <w:sz w:val="22"/>
          <w:szCs w:val="22"/>
        </w:rPr>
        <w:t>T</w:t>
      </w:r>
      <w:r w:rsidR="00542863" w:rsidRPr="001735FB">
        <w:rPr>
          <w:rFonts w:ascii="Verdana" w:hAnsi="Verdana"/>
          <w:sz w:val="22"/>
          <w:szCs w:val="22"/>
        </w:rPr>
        <w:t xml:space="preserve">ime </w:t>
      </w:r>
      <w:r w:rsidRPr="001735FB">
        <w:rPr>
          <w:rFonts w:ascii="Verdana" w:hAnsi="Verdana"/>
          <w:sz w:val="22"/>
          <w:szCs w:val="22"/>
        </w:rPr>
        <w:t>R</w:t>
      </w:r>
      <w:r w:rsidR="00542863" w:rsidRPr="001735FB">
        <w:rPr>
          <w:rFonts w:ascii="Verdana" w:hAnsi="Verdana"/>
          <w:sz w:val="22"/>
          <w:szCs w:val="22"/>
        </w:rPr>
        <w:t>egulations 1998</w:t>
      </w:r>
    </w:p>
    <w:p w14:paraId="62C17B59" w14:textId="77777777" w:rsidR="00542863" w:rsidRPr="001735FB" w:rsidRDefault="00542863" w:rsidP="001735FB">
      <w:pPr>
        <w:spacing w:before="0" w:after="0" w:line="240" w:lineRule="auto"/>
        <w:jc w:val="left"/>
        <w:rPr>
          <w:rFonts w:ascii="Verdana" w:hAnsi="Verdana"/>
          <w:sz w:val="22"/>
          <w:szCs w:val="22"/>
        </w:rPr>
      </w:pPr>
      <w:r w:rsidRPr="001735FB">
        <w:rPr>
          <w:rFonts w:ascii="Verdana" w:hAnsi="Verdana"/>
          <w:sz w:val="22"/>
          <w:szCs w:val="22"/>
        </w:rPr>
        <w:t>Equality Act 2010</w:t>
      </w:r>
    </w:p>
    <w:p w14:paraId="33A5ED5F" w14:textId="77777777" w:rsidR="00542863" w:rsidRPr="001735FB" w:rsidRDefault="00542863" w:rsidP="00D260D8">
      <w:pPr>
        <w:spacing w:before="0" w:after="200" w:line="276" w:lineRule="auto"/>
        <w:jc w:val="left"/>
        <w:rPr>
          <w:rFonts w:ascii="Verdana" w:hAnsi="Verdana"/>
          <w:sz w:val="22"/>
          <w:szCs w:val="22"/>
        </w:rPr>
      </w:pPr>
    </w:p>
    <w:p w14:paraId="7F90242F" w14:textId="77777777" w:rsidR="00D260D8" w:rsidRPr="001735FB" w:rsidRDefault="00D260D8" w:rsidP="00E64EAC">
      <w:pPr>
        <w:pStyle w:val="Heading4"/>
        <w:rPr>
          <w:sz w:val="22"/>
          <w:szCs w:val="22"/>
          <w:lang w:eastAsia="en-US"/>
        </w:rPr>
      </w:pPr>
      <w:r w:rsidRPr="001735FB">
        <w:rPr>
          <w:sz w:val="22"/>
          <w:szCs w:val="22"/>
          <w:lang w:eastAsia="en-US"/>
        </w:rPr>
        <w:t>Compliance</w:t>
      </w:r>
    </w:p>
    <w:p w14:paraId="57C914A3" w14:textId="77777777" w:rsidR="00D260D8" w:rsidRPr="001735FB" w:rsidRDefault="0055200C" w:rsidP="00D260D8">
      <w:pPr>
        <w:spacing w:before="0" w:after="200" w:line="276" w:lineRule="auto"/>
        <w:contextualSpacing/>
        <w:jc w:val="left"/>
        <w:rPr>
          <w:rFonts w:ascii="Verdana" w:hAnsi="Verdana"/>
          <w:sz w:val="22"/>
          <w:szCs w:val="22"/>
        </w:rPr>
      </w:pPr>
      <w:r w:rsidRPr="001735FB">
        <w:rPr>
          <w:rFonts w:ascii="Verdana" w:eastAsia="Calibri" w:hAnsi="Verdana"/>
          <w:sz w:val="22"/>
          <w:szCs w:val="22"/>
          <w:lang w:eastAsia="en-US"/>
        </w:rPr>
        <w:t>Region/ Nation/ Business Line/ Department performance against Sickness Absence Key Performance Indicator</w:t>
      </w:r>
      <w:r w:rsidR="005C22C1">
        <w:rPr>
          <w:rFonts w:ascii="Verdana" w:eastAsia="Calibri" w:hAnsi="Verdana"/>
          <w:sz w:val="22"/>
          <w:szCs w:val="22"/>
          <w:lang w:eastAsia="en-US"/>
        </w:rPr>
        <w:t>s</w:t>
      </w:r>
      <w:r w:rsidRPr="001735FB">
        <w:rPr>
          <w:rFonts w:ascii="Verdana" w:eastAsia="Calibri" w:hAnsi="Verdana"/>
          <w:sz w:val="22"/>
          <w:szCs w:val="22"/>
          <w:lang w:eastAsia="en-US"/>
        </w:rPr>
        <w:t xml:space="preserve">. </w:t>
      </w:r>
    </w:p>
    <w:p w14:paraId="58298AE7" w14:textId="77777777" w:rsidR="00D260D8" w:rsidRPr="001735FB" w:rsidRDefault="00D260D8" w:rsidP="00D260D8">
      <w:pPr>
        <w:spacing w:before="0" w:after="200" w:line="276" w:lineRule="auto"/>
        <w:contextualSpacing/>
        <w:jc w:val="left"/>
        <w:rPr>
          <w:rFonts w:ascii="Verdana" w:eastAsia="Calibri" w:hAnsi="Verdana"/>
          <w:sz w:val="22"/>
          <w:szCs w:val="22"/>
          <w:lang w:eastAsia="en-US"/>
        </w:rPr>
      </w:pPr>
    </w:p>
    <w:p w14:paraId="4CC2AA04" w14:textId="77777777" w:rsidR="001D31F7" w:rsidRPr="001735FB" w:rsidRDefault="001D31F7" w:rsidP="00E64EAC">
      <w:pPr>
        <w:pStyle w:val="Heading4"/>
        <w:rPr>
          <w:sz w:val="22"/>
          <w:szCs w:val="22"/>
          <w:lang w:eastAsia="en-US"/>
        </w:rPr>
      </w:pPr>
      <w:r w:rsidRPr="001735FB">
        <w:rPr>
          <w:sz w:val="22"/>
          <w:szCs w:val="22"/>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410"/>
        <w:gridCol w:w="2693"/>
      </w:tblGrid>
      <w:tr w:rsidR="001D31F7" w:rsidRPr="001735FB" w14:paraId="16228DC9" w14:textId="77777777" w:rsidTr="00C15B3D">
        <w:tc>
          <w:tcPr>
            <w:tcW w:w="1384" w:type="dxa"/>
            <w:hideMark/>
          </w:tcPr>
          <w:p w14:paraId="63013D15" w14:textId="77777777" w:rsidR="001D31F7" w:rsidRPr="001735FB" w:rsidRDefault="001D31F7" w:rsidP="00D260D8">
            <w:pPr>
              <w:spacing w:before="0" w:after="0" w:line="240" w:lineRule="auto"/>
              <w:jc w:val="left"/>
              <w:rPr>
                <w:rFonts w:ascii="Verdana" w:eastAsia="Calibri" w:hAnsi="Verdana" w:cs="Tahoma"/>
                <w:sz w:val="22"/>
                <w:szCs w:val="22"/>
                <w:lang w:val="en-US"/>
              </w:rPr>
            </w:pPr>
            <w:r w:rsidRPr="001735FB">
              <w:rPr>
                <w:rFonts w:ascii="Verdana" w:hAnsi="Verdana" w:cs="Arial"/>
                <w:b/>
                <w:bCs/>
                <w:sz w:val="22"/>
                <w:szCs w:val="22"/>
                <w:lang w:val="en-US"/>
              </w:rPr>
              <w:t>Version</w:t>
            </w:r>
          </w:p>
        </w:tc>
        <w:tc>
          <w:tcPr>
            <w:tcW w:w="1559" w:type="dxa"/>
            <w:hideMark/>
          </w:tcPr>
          <w:p w14:paraId="41914278" w14:textId="77777777" w:rsidR="001D31F7" w:rsidRPr="001735FB" w:rsidRDefault="001D31F7" w:rsidP="00D260D8">
            <w:pPr>
              <w:spacing w:before="0" w:after="0" w:line="240" w:lineRule="auto"/>
              <w:jc w:val="left"/>
              <w:rPr>
                <w:rFonts w:ascii="Verdana" w:eastAsia="Calibri" w:hAnsi="Verdana" w:cs="Tahoma"/>
                <w:sz w:val="22"/>
                <w:szCs w:val="22"/>
                <w:lang w:val="en-US"/>
              </w:rPr>
            </w:pPr>
            <w:r w:rsidRPr="001735FB">
              <w:rPr>
                <w:rFonts w:ascii="Verdana" w:hAnsi="Verdana" w:cs="Arial"/>
                <w:b/>
                <w:bCs/>
                <w:sz w:val="22"/>
                <w:szCs w:val="22"/>
                <w:lang w:val="en-US"/>
              </w:rPr>
              <w:t>Date</w:t>
            </w:r>
          </w:p>
        </w:tc>
        <w:tc>
          <w:tcPr>
            <w:tcW w:w="1843" w:type="dxa"/>
            <w:hideMark/>
          </w:tcPr>
          <w:p w14:paraId="7CAFC863" w14:textId="77777777" w:rsidR="001D31F7" w:rsidRPr="001735FB" w:rsidRDefault="001D31F7" w:rsidP="00D260D8">
            <w:pPr>
              <w:spacing w:before="0" w:after="0" w:line="240" w:lineRule="auto"/>
              <w:jc w:val="left"/>
              <w:rPr>
                <w:rFonts w:ascii="Verdana" w:eastAsia="Calibri" w:hAnsi="Verdana" w:cs="Tahoma"/>
                <w:sz w:val="22"/>
                <w:szCs w:val="22"/>
                <w:lang w:val="en-US"/>
              </w:rPr>
            </w:pPr>
            <w:r w:rsidRPr="001735FB">
              <w:rPr>
                <w:rFonts w:ascii="Verdana" w:hAnsi="Verdana" w:cs="Arial"/>
                <w:b/>
                <w:bCs/>
                <w:sz w:val="22"/>
                <w:szCs w:val="22"/>
                <w:lang w:val="en-US"/>
              </w:rPr>
              <w:t>Author</w:t>
            </w:r>
          </w:p>
        </w:tc>
        <w:tc>
          <w:tcPr>
            <w:tcW w:w="2410" w:type="dxa"/>
            <w:hideMark/>
          </w:tcPr>
          <w:p w14:paraId="7EA77326" w14:textId="77777777" w:rsidR="001D31F7" w:rsidRPr="001735FB" w:rsidRDefault="001D31F7" w:rsidP="00D260D8">
            <w:pPr>
              <w:spacing w:before="0" w:after="0" w:line="240" w:lineRule="auto"/>
              <w:jc w:val="left"/>
              <w:rPr>
                <w:rFonts w:ascii="Verdana" w:eastAsia="Calibri" w:hAnsi="Verdana" w:cs="Tahoma"/>
                <w:sz w:val="22"/>
                <w:szCs w:val="22"/>
                <w:lang w:val="en-US"/>
              </w:rPr>
            </w:pPr>
            <w:r w:rsidRPr="001735FB">
              <w:rPr>
                <w:rFonts w:ascii="Verdana" w:hAnsi="Verdana" w:cs="Arial"/>
                <w:b/>
                <w:bCs/>
                <w:sz w:val="22"/>
                <w:szCs w:val="22"/>
                <w:lang w:val="en-US"/>
              </w:rPr>
              <w:t>Status</w:t>
            </w:r>
          </w:p>
        </w:tc>
        <w:tc>
          <w:tcPr>
            <w:tcW w:w="2693" w:type="dxa"/>
            <w:hideMark/>
          </w:tcPr>
          <w:p w14:paraId="78F97C4D" w14:textId="77777777" w:rsidR="001D31F7" w:rsidRPr="001735FB" w:rsidRDefault="001D31F7" w:rsidP="00D260D8">
            <w:pPr>
              <w:spacing w:before="0" w:after="0" w:line="240" w:lineRule="auto"/>
              <w:jc w:val="left"/>
              <w:rPr>
                <w:rFonts w:ascii="Verdana" w:eastAsia="Calibri" w:hAnsi="Verdana" w:cs="Tahoma"/>
                <w:sz w:val="22"/>
                <w:szCs w:val="22"/>
                <w:lang w:val="en-US"/>
              </w:rPr>
            </w:pPr>
            <w:r w:rsidRPr="001735FB">
              <w:rPr>
                <w:rFonts w:ascii="Verdana" w:hAnsi="Verdana" w:cs="Arial"/>
                <w:b/>
                <w:bCs/>
                <w:sz w:val="22"/>
                <w:szCs w:val="22"/>
                <w:lang w:val="en-US"/>
              </w:rPr>
              <w:t>Comment</w:t>
            </w:r>
          </w:p>
        </w:tc>
      </w:tr>
      <w:tr w:rsidR="00392E29" w:rsidRPr="00D21628" w14:paraId="2E31DE24" w14:textId="77777777" w:rsidTr="00C15B3D">
        <w:tc>
          <w:tcPr>
            <w:tcW w:w="1384" w:type="dxa"/>
          </w:tcPr>
          <w:p w14:paraId="46A61C94" w14:textId="77777777" w:rsidR="00392E29" w:rsidRPr="00F57197" w:rsidRDefault="00392E29" w:rsidP="0052387E">
            <w:pPr>
              <w:tabs>
                <w:tab w:val="left" w:pos="780"/>
              </w:tabs>
              <w:spacing w:before="0" w:after="0" w:line="240" w:lineRule="auto"/>
              <w:jc w:val="left"/>
              <w:rPr>
                <w:rFonts w:ascii="Verdana" w:eastAsia="Calibri" w:hAnsi="Verdana" w:cs="Tahoma"/>
                <w:sz w:val="22"/>
                <w:szCs w:val="22"/>
                <w:lang w:val="en-US"/>
              </w:rPr>
            </w:pPr>
            <w:r w:rsidRPr="00F57197">
              <w:rPr>
                <w:rFonts w:ascii="Verdana" w:eastAsia="Calibri" w:hAnsi="Verdana" w:cs="Tahoma"/>
                <w:sz w:val="22"/>
                <w:szCs w:val="22"/>
                <w:lang w:val="en-US"/>
              </w:rPr>
              <w:t>1.</w:t>
            </w:r>
          </w:p>
        </w:tc>
        <w:tc>
          <w:tcPr>
            <w:tcW w:w="1559" w:type="dxa"/>
          </w:tcPr>
          <w:p w14:paraId="6DA33B52" w14:textId="77777777" w:rsidR="00392E29" w:rsidRPr="00F57197" w:rsidRDefault="00392E29" w:rsidP="0052387E">
            <w:pPr>
              <w:autoSpaceDE w:val="0"/>
              <w:autoSpaceDN w:val="0"/>
              <w:adjustRightInd w:val="0"/>
              <w:spacing w:before="0" w:after="0" w:line="240" w:lineRule="auto"/>
              <w:jc w:val="left"/>
              <w:rPr>
                <w:rFonts w:ascii="Verdana" w:eastAsia="Calibri" w:hAnsi="Verdana" w:cs="Arial"/>
                <w:sz w:val="22"/>
                <w:szCs w:val="22"/>
                <w:lang w:val="en-US"/>
              </w:rPr>
            </w:pPr>
            <w:r w:rsidRPr="00F57197">
              <w:rPr>
                <w:rFonts w:ascii="Verdana" w:eastAsia="Calibri" w:hAnsi="Verdana" w:cs="Arial"/>
                <w:sz w:val="22"/>
                <w:szCs w:val="22"/>
                <w:lang w:val="en-US"/>
              </w:rPr>
              <w:t>1 Dec 2015</w:t>
            </w:r>
          </w:p>
        </w:tc>
        <w:tc>
          <w:tcPr>
            <w:tcW w:w="1843" w:type="dxa"/>
          </w:tcPr>
          <w:p w14:paraId="2A27A5A9" w14:textId="77777777" w:rsidR="00392E29" w:rsidRPr="00F57197" w:rsidRDefault="00392E29" w:rsidP="0052387E">
            <w:pPr>
              <w:spacing w:before="0" w:after="0" w:line="240" w:lineRule="auto"/>
              <w:jc w:val="left"/>
              <w:rPr>
                <w:rFonts w:ascii="Verdana" w:eastAsia="Calibri" w:hAnsi="Verdana" w:cs="Arial"/>
                <w:sz w:val="22"/>
                <w:szCs w:val="22"/>
                <w:lang w:val="en-US"/>
              </w:rPr>
            </w:pPr>
            <w:r w:rsidRPr="00F57197">
              <w:rPr>
                <w:rFonts w:ascii="Verdana" w:eastAsia="Calibri" w:hAnsi="Verdana" w:cs="Arial"/>
                <w:sz w:val="22"/>
                <w:szCs w:val="22"/>
                <w:lang w:val="en-US"/>
              </w:rPr>
              <w:t>Policy and Advice Team</w:t>
            </w:r>
          </w:p>
        </w:tc>
        <w:tc>
          <w:tcPr>
            <w:tcW w:w="2410" w:type="dxa"/>
          </w:tcPr>
          <w:p w14:paraId="4E0B1B63" w14:textId="77777777" w:rsidR="00392E29" w:rsidRPr="00F57197" w:rsidRDefault="00392E29" w:rsidP="0052387E">
            <w:pPr>
              <w:spacing w:before="0" w:after="0" w:line="240" w:lineRule="auto"/>
              <w:jc w:val="left"/>
              <w:rPr>
                <w:rFonts w:ascii="Verdana" w:eastAsia="Calibri" w:hAnsi="Verdana" w:cs="Tahoma"/>
                <w:sz w:val="22"/>
                <w:szCs w:val="22"/>
                <w:lang w:val="en-US"/>
              </w:rPr>
            </w:pPr>
            <w:r w:rsidRPr="00F57197">
              <w:rPr>
                <w:rFonts w:ascii="Verdana" w:eastAsia="Calibri" w:hAnsi="Verdana" w:cs="Tahoma"/>
                <w:sz w:val="22"/>
                <w:szCs w:val="22"/>
                <w:lang w:val="en-US"/>
              </w:rPr>
              <w:t xml:space="preserve">Agreed by Everton Bryan </w:t>
            </w:r>
          </w:p>
        </w:tc>
        <w:tc>
          <w:tcPr>
            <w:tcW w:w="2693" w:type="dxa"/>
          </w:tcPr>
          <w:p w14:paraId="1B267A63" w14:textId="77777777" w:rsidR="00392E29" w:rsidRPr="00F57197" w:rsidRDefault="00392E29" w:rsidP="0052387E">
            <w:pPr>
              <w:spacing w:before="0" w:after="0" w:line="240" w:lineRule="auto"/>
              <w:jc w:val="left"/>
              <w:rPr>
                <w:rFonts w:ascii="Verdana" w:eastAsia="Calibri" w:hAnsi="Verdana" w:cs="Tahoma"/>
                <w:sz w:val="22"/>
                <w:szCs w:val="22"/>
                <w:lang w:val="en-US"/>
              </w:rPr>
            </w:pPr>
            <w:r w:rsidRPr="00F57197">
              <w:rPr>
                <w:rFonts w:ascii="Verdana" w:eastAsia="Calibri" w:hAnsi="Verdana" w:cs="Tahoma"/>
                <w:sz w:val="22"/>
                <w:szCs w:val="22"/>
                <w:lang w:val="en-US"/>
              </w:rPr>
              <w:t xml:space="preserve">Approved 02.11.15 </w:t>
            </w:r>
          </w:p>
        </w:tc>
      </w:tr>
      <w:tr w:rsidR="00392E29" w:rsidRPr="00D21628" w14:paraId="0D9D4BD8" w14:textId="77777777" w:rsidTr="00C15B3D">
        <w:tc>
          <w:tcPr>
            <w:tcW w:w="1384" w:type="dxa"/>
          </w:tcPr>
          <w:p w14:paraId="4A23CB11" w14:textId="77777777" w:rsidR="00392E29" w:rsidRPr="00C15B3D" w:rsidRDefault="00C15B3D" w:rsidP="0052387E">
            <w:pPr>
              <w:tabs>
                <w:tab w:val="left" w:pos="780"/>
              </w:tabs>
              <w:spacing w:before="0" w:after="0" w:line="240" w:lineRule="auto"/>
              <w:jc w:val="left"/>
              <w:rPr>
                <w:rFonts w:ascii="Verdana" w:eastAsia="Calibri" w:hAnsi="Verdana" w:cs="Tahoma"/>
                <w:sz w:val="22"/>
                <w:szCs w:val="22"/>
                <w:lang w:val="en-US"/>
              </w:rPr>
            </w:pPr>
            <w:r w:rsidRPr="00C15B3D">
              <w:rPr>
                <w:rFonts w:ascii="Verdana" w:eastAsia="Calibri" w:hAnsi="Verdana" w:cs="Tahoma"/>
                <w:sz w:val="22"/>
                <w:szCs w:val="22"/>
                <w:lang w:val="en-US"/>
              </w:rPr>
              <w:t>2.</w:t>
            </w:r>
          </w:p>
        </w:tc>
        <w:tc>
          <w:tcPr>
            <w:tcW w:w="1559" w:type="dxa"/>
          </w:tcPr>
          <w:p w14:paraId="5A3229A9" w14:textId="77777777" w:rsidR="00392E29" w:rsidRPr="00C15B3D" w:rsidRDefault="00C15B3D" w:rsidP="0052387E">
            <w:pPr>
              <w:autoSpaceDE w:val="0"/>
              <w:autoSpaceDN w:val="0"/>
              <w:adjustRightInd w:val="0"/>
              <w:spacing w:before="0" w:after="0" w:line="240" w:lineRule="auto"/>
              <w:jc w:val="left"/>
              <w:rPr>
                <w:rFonts w:ascii="Verdana" w:eastAsia="Calibri" w:hAnsi="Verdana" w:cs="Arial"/>
                <w:sz w:val="22"/>
                <w:szCs w:val="22"/>
                <w:lang w:val="en-US"/>
              </w:rPr>
            </w:pPr>
            <w:r w:rsidRPr="00C15B3D">
              <w:rPr>
                <w:rFonts w:ascii="Verdana" w:eastAsia="Calibri" w:hAnsi="Verdana" w:cs="Arial"/>
                <w:sz w:val="22"/>
                <w:szCs w:val="22"/>
                <w:lang w:val="en-US"/>
              </w:rPr>
              <w:t>09 Aug 2016</w:t>
            </w:r>
          </w:p>
        </w:tc>
        <w:tc>
          <w:tcPr>
            <w:tcW w:w="1843" w:type="dxa"/>
          </w:tcPr>
          <w:p w14:paraId="5175141B" w14:textId="77777777" w:rsidR="00392E29" w:rsidRPr="00C15B3D" w:rsidRDefault="00C15B3D" w:rsidP="0052387E">
            <w:pPr>
              <w:spacing w:before="0" w:after="0" w:line="240" w:lineRule="auto"/>
              <w:jc w:val="left"/>
              <w:rPr>
                <w:rFonts w:ascii="Verdana" w:eastAsia="Calibri" w:hAnsi="Verdana" w:cs="Tahoma"/>
                <w:sz w:val="22"/>
                <w:szCs w:val="22"/>
                <w:lang w:val="en-US"/>
              </w:rPr>
            </w:pPr>
            <w:r w:rsidRPr="00C15B3D">
              <w:rPr>
                <w:rFonts w:ascii="Verdana" w:eastAsia="Calibri" w:hAnsi="Verdana" w:cs="Tahoma"/>
                <w:sz w:val="22"/>
                <w:szCs w:val="22"/>
                <w:lang w:val="en-US"/>
              </w:rPr>
              <w:t>Policy and Advice Team</w:t>
            </w:r>
          </w:p>
        </w:tc>
        <w:tc>
          <w:tcPr>
            <w:tcW w:w="2410" w:type="dxa"/>
          </w:tcPr>
          <w:p w14:paraId="1391363D" w14:textId="77777777" w:rsidR="00392E29" w:rsidRPr="00C15B3D" w:rsidRDefault="002C0A6B" w:rsidP="00C15B3D">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 by Toni Court 28.07.16</w:t>
            </w:r>
          </w:p>
        </w:tc>
        <w:tc>
          <w:tcPr>
            <w:tcW w:w="2693" w:type="dxa"/>
          </w:tcPr>
          <w:p w14:paraId="44DA8140" w14:textId="77777777" w:rsidR="00392E29" w:rsidRPr="00C15B3D" w:rsidRDefault="00C15B3D" w:rsidP="00C15B3D">
            <w:pPr>
              <w:spacing w:before="0" w:after="0" w:line="240" w:lineRule="auto"/>
              <w:jc w:val="left"/>
              <w:rPr>
                <w:rFonts w:ascii="Verdana" w:eastAsia="Calibri" w:hAnsi="Verdana" w:cs="Tahoma"/>
                <w:sz w:val="22"/>
                <w:szCs w:val="22"/>
                <w:lang w:val="en-US"/>
              </w:rPr>
            </w:pPr>
            <w:r w:rsidRPr="00C15B3D">
              <w:rPr>
                <w:rFonts w:ascii="Verdana" w:eastAsia="Calibri" w:hAnsi="Verdana" w:cs="Tahoma"/>
                <w:sz w:val="22"/>
                <w:szCs w:val="22"/>
                <w:lang w:val="en-US"/>
              </w:rPr>
              <w:t>Minor amendment - recording part day absences</w:t>
            </w:r>
          </w:p>
        </w:tc>
      </w:tr>
      <w:tr w:rsidR="002C0A6B" w:rsidRPr="00D21628" w14:paraId="25B3A7A4" w14:textId="77777777" w:rsidTr="00C15B3D">
        <w:tc>
          <w:tcPr>
            <w:tcW w:w="1384" w:type="dxa"/>
          </w:tcPr>
          <w:p w14:paraId="66735DE8" w14:textId="77777777" w:rsidR="002C0A6B" w:rsidRPr="00C15B3D" w:rsidRDefault="002C0A6B" w:rsidP="0052387E">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3.</w:t>
            </w:r>
          </w:p>
        </w:tc>
        <w:tc>
          <w:tcPr>
            <w:tcW w:w="1559" w:type="dxa"/>
          </w:tcPr>
          <w:p w14:paraId="72E66F36" w14:textId="77777777" w:rsidR="002C0A6B" w:rsidRPr="00C15B3D" w:rsidRDefault="002C0A6B" w:rsidP="0052387E">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03 Nov 2016</w:t>
            </w:r>
          </w:p>
        </w:tc>
        <w:tc>
          <w:tcPr>
            <w:tcW w:w="1843" w:type="dxa"/>
          </w:tcPr>
          <w:p w14:paraId="0D4553F8" w14:textId="77777777" w:rsidR="002C0A6B" w:rsidRPr="00C15B3D" w:rsidRDefault="002C0A6B" w:rsidP="0052387E">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Policy &amp; Advice Team </w:t>
            </w:r>
          </w:p>
        </w:tc>
        <w:tc>
          <w:tcPr>
            <w:tcW w:w="2410" w:type="dxa"/>
          </w:tcPr>
          <w:p w14:paraId="37B3138E" w14:textId="77777777" w:rsidR="002C0A6B" w:rsidRDefault="002C0A6B" w:rsidP="002C0A6B">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 by Toni Court 03.11.16</w:t>
            </w:r>
          </w:p>
        </w:tc>
        <w:tc>
          <w:tcPr>
            <w:tcW w:w="2693" w:type="dxa"/>
          </w:tcPr>
          <w:p w14:paraId="6C020CD8" w14:textId="77777777" w:rsidR="002C0A6B" w:rsidRPr="00C15B3D" w:rsidRDefault="002C0A6B" w:rsidP="007D2A93">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Minor amendment – change </w:t>
            </w:r>
            <w:r w:rsidR="007D2A93">
              <w:rPr>
                <w:rFonts w:ascii="Verdana" w:eastAsia="Calibri" w:hAnsi="Verdana" w:cs="Tahoma"/>
                <w:sz w:val="22"/>
                <w:szCs w:val="22"/>
                <w:lang w:val="en-US"/>
              </w:rPr>
              <w:t>of</w:t>
            </w:r>
            <w:r>
              <w:rPr>
                <w:rFonts w:ascii="Verdana" w:eastAsia="Calibri" w:hAnsi="Verdana" w:cs="Tahoma"/>
                <w:sz w:val="22"/>
                <w:szCs w:val="22"/>
                <w:lang w:val="en-US"/>
              </w:rPr>
              <w:t xml:space="preserve"> </w:t>
            </w:r>
            <w:r w:rsidR="007D2A93">
              <w:rPr>
                <w:rFonts w:ascii="Verdana" w:eastAsia="Calibri" w:hAnsi="Verdana" w:cs="Tahoma"/>
                <w:sz w:val="22"/>
                <w:szCs w:val="22"/>
                <w:lang w:val="en-US"/>
              </w:rPr>
              <w:t>wording (</w:t>
            </w:r>
            <w:r>
              <w:rPr>
                <w:rFonts w:ascii="Verdana" w:eastAsia="Calibri" w:hAnsi="Verdana" w:cs="Tahoma"/>
                <w:sz w:val="22"/>
                <w:szCs w:val="22"/>
                <w:lang w:val="en-US"/>
              </w:rPr>
              <w:t>risk assessment to Accessibility Passport</w:t>
            </w:r>
            <w:r w:rsidR="007D2A93">
              <w:rPr>
                <w:rFonts w:ascii="Verdana" w:eastAsia="Calibri" w:hAnsi="Verdana" w:cs="Tahoma"/>
                <w:sz w:val="22"/>
                <w:szCs w:val="22"/>
                <w:lang w:val="en-US"/>
              </w:rPr>
              <w:t xml:space="preserve">) </w:t>
            </w:r>
            <w:r>
              <w:rPr>
                <w:rFonts w:ascii="Verdana" w:eastAsia="Calibri" w:hAnsi="Verdana" w:cs="Tahoma"/>
                <w:sz w:val="22"/>
                <w:szCs w:val="22"/>
                <w:lang w:val="en-US"/>
              </w:rPr>
              <w:t>&amp; ref to WRAPs</w:t>
            </w:r>
            <w:r w:rsidR="007D2A93">
              <w:rPr>
                <w:rFonts w:ascii="Verdana" w:eastAsia="Calibri" w:hAnsi="Verdana" w:cs="Tahoma"/>
                <w:sz w:val="22"/>
                <w:szCs w:val="22"/>
                <w:lang w:val="en-US"/>
              </w:rPr>
              <w:t xml:space="preserve"> added</w:t>
            </w:r>
          </w:p>
        </w:tc>
      </w:tr>
      <w:tr w:rsidR="00616B90" w:rsidRPr="00D21628" w14:paraId="17379ECB" w14:textId="77777777" w:rsidTr="00C15B3D">
        <w:tc>
          <w:tcPr>
            <w:tcW w:w="1384" w:type="dxa"/>
          </w:tcPr>
          <w:p w14:paraId="78330B14" w14:textId="77777777" w:rsidR="00616B90" w:rsidRDefault="00616B90" w:rsidP="00616B90">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4.</w:t>
            </w:r>
          </w:p>
        </w:tc>
        <w:tc>
          <w:tcPr>
            <w:tcW w:w="1559" w:type="dxa"/>
          </w:tcPr>
          <w:p w14:paraId="593CE990" w14:textId="77777777" w:rsidR="00616B90" w:rsidRDefault="00616B90" w:rsidP="00616B90">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06 July</w:t>
            </w:r>
          </w:p>
        </w:tc>
        <w:tc>
          <w:tcPr>
            <w:tcW w:w="1843" w:type="dxa"/>
          </w:tcPr>
          <w:p w14:paraId="10D9175A" w14:textId="77777777" w:rsidR="00616B90" w:rsidRPr="00C15B3D" w:rsidRDefault="00616B90"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Policy &amp; Advice Team </w:t>
            </w:r>
          </w:p>
        </w:tc>
        <w:tc>
          <w:tcPr>
            <w:tcW w:w="2410" w:type="dxa"/>
          </w:tcPr>
          <w:p w14:paraId="73618998" w14:textId="77777777" w:rsidR="00616B90" w:rsidRDefault="00616B90"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693" w:type="dxa"/>
          </w:tcPr>
          <w:p w14:paraId="7FE88B5E" w14:textId="77777777" w:rsidR="00616B90" w:rsidRDefault="00616B90"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Update to reflect MyPlace process and change to retention of Fit Note</w:t>
            </w:r>
          </w:p>
        </w:tc>
      </w:tr>
      <w:tr w:rsidR="00341247" w:rsidRPr="00D21628" w14:paraId="45F89467" w14:textId="77777777" w:rsidTr="00C15B3D">
        <w:tc>
          <w:tcPr>
            <w:tcW w:w="1384" w:type="dxa"/>
          </w:tcPr>
          <w:p w14:paraId="4BD39F26" w14:textId="77777777" w:rsidR="00341247" w:rsidRDefault="00341247" w:rsidP="00616B90">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5.</w:t>
            </w:r>
          </w:p>
        </w:tc>
        <w:tc>
          <w:tcPr>
            <w:tcW w:w="1559" w:type="dxa"/>
          </w:tcPr>
          <w:p w14:paraId="108D40A3" w14:textId="77777777" w:rsidR="00341247" w:rsidRDefault="006A3744" w:rsidP="00616B90">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 xml:space="preserve">22 March </w:t>
            </w:r>
            <w:r w:rsidR="00341247">
              <w:rPr>
                <w:rFonts w:ascii="Verdana" w:eastAsia="Calibri" w:hAnsi="Verdana" w:cs="Arial"/>
                <w:sz w:val="22"/>
                <w:szCs w:val="22"/>
                <w:lang w:val="en-US"/>
              </w:rPr>
              <w:t>2021</w:t>
            </w:r>
          </w:p>
        </w:tc>
        <w:tc>
          <w:tcPr>
            <w:tcW w:w="1843" w:type="dxa"/>
          </w:tcPr>
          <w:p w14:paraId="15F559CD" w14:textId="77777777" w:rsidR="00341247" w:rsidRPr="00762C11" w:rsidRDefault="00416E6E" w:rsidP="00616B90">
            <w:pPr>
              <w:spacing w:before="0" w:after="0" w:line="240" w:lineRule="auto"/>
              <w:jc w:val="left"/>
              <w:rPr>
                <w:rFonts w:ascii="Verdana" w:eastAsia="Calibri" w:hAnsi="Verdana" w:cs="Tahoma"/>
                <w:sz w:val="22"/>
                <w:szCs w:val="22"/>
                <w:lang w:val="en-US"/>
              </w:rPr>
            </w:pPr>
            <w:r w:rsidRPr="00762C11">
              <w:rPr>
                <w:rFonts w:ascii="Verdana" w:hAnsi="Verdana" w:cs="Arial"/>
                <w:sz w:val="22"/>
                <w:szCs w:val="22"/>
                <w:lang w:eastAsia="en-GB"/>
              </w:rPr>
              <w:t>People Strategy &amp; Projects Team</w:t>
            </w:r>
          </w:p>
        </w:tc>
        <w:tc>
          <w:tcPr>
            <w:tcW w:w="2410" w:type="dxa"/>
          </w:tcPr>
          <w:p w14:paraId="0082C3E0" w14:textId="77777777" w:rsidR="00341247" w:rsidRDefault="00341247"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693" w:type="dxa"/>
          </w:tcPr>
          <w:p w14:paraId="33A116E8" w14:textId="77777777" w:rsidR="00341247" w:rsidRDefault="00341247"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Update to clarify the </w:t>
            </w:r>
            <w:r w:rsidR="00416E6E">
              <w:rPr>
                <w:rFonts w:ascii="Verdana" w:eastAsia="Calibri" w:hAnsi="Verdana" w:cs="Tahoma"/>
                <w:sz w:val="22"/>
                <w:szCs w:val="22"/>
                <w:lang w:val="en-US"/>
              </w:rPr>
              <w:t>carry forward</w:t>
            </w:r>
            <w:r>
              <w:rPr>
                <w:rFonts w:ascii="Verdana" w:eastAsia="Calibri" w:hAnsi="Verdana" w:cs="Tahoma"/>
                <w:sz w:val="22"/>
                <w:szCs w:val="22"/>
                <w:lang w:val="en-US"/>
              </w:rPr>
              <w:t xml:space="preserve"> of annual leave </w:t>
            </w:r>
          </w:p>
        </w:tc>
      </w:tr>
      <w:tr w:rsidR="00B57CC8" w:rsidRPr="00D21628" w14:paraId="5D2947E7" w14:textId="77777777" w:rsidTr="00C15B3D">
        <w:tc>
          <w:tcPr>
            <w:tcW w:w="1384" w:type="dxa"/>
          </w:tcPr>
          <w:p w14:paraId="3CB0DA7B" w14:textId="1F4A79A0" w:rsidR="00B57CC8" w:rsidRDefault="00B57CC8" w:rsidP="00616B90">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6.</w:t>
            </w:r>
          </w:p>
        </w:tc>
        <w:tc>
          <w:tcPr>
            <w:tcW w:w="1559" w:type="dxa"/>
          </w:tcPr>
          <w:p w14:paraId="67BA72F4" w14:textId="62D47B2A" w:rsidR="00B57CC8" w:rsidRDefault="00C3774D" w:rsidP="00616B90">
            <w:pPr>
              <w:autoSpaceDE w:val="0"/>
              <w:autoSpaceDN w:val="0"/>
              <w:adjustRightInd w:val="0"/>
              <w:spacing w:before="0" w:after="0" w:line="240" w:lineRule="auto"/>
              <w:jc w:val="left"/>
              <w:rPr>
                <w:rFonts w:ascii="Verdana" w:eastAsia="Calibri" w:hAnsi="Verdana" w:cs="Arial"/>
                <w:sz w:val="22"/>
                <w:szCs w:val="22"/>
                <w:lang w:val="en-US"/>
              </w:rPr>
            </w:pPr>
            <w:r w:rsidRPr="000701CD">
              <w:rPr>
                <w:rFonts w:ascii="Verdana" w:eastAsia="Calibri" w:hAnsi="Verdana" w:cs="Arial"/>
                <w:sz w:val="22"/>
                <w:szCs w:val="22"/>
                <w:lang w:val="en-US"/>
              </w:rPr>
              <w:t>2 August 2022</w:t>
            </w:r>
          </w:p>
        </w:tc>
        <w:tc>
          <w:tcPr>
            <w:tcW w:w="1843" w:type="dxa"/>
          </w:tcPr>
          <w:p w14:paraId="76D8E569" w14:textId="3E43107D" w:rsidR="00B57CC8" w:rsidRPr="00762C11" w:rsidRDefault="00B57CC8" w:rsidP="00616B90">
            <w:pPr>
              <w:spacing w:before="0" w:after="0" w:line="240" w:lineRule="auto"/>
              <w:jc w:val="left"/>
              <w:rPr>
                <w:rFonts w:ascii="Verdana" w:hAnsi="Verdana" w:cs="Arial"/>
                <w:sz w:val="22"/>
                <w:szCs w:val="22"/>
              </w:rPr>
            </w:pPr>
            <w:r w:rsidRPr="00762C11">
              <w:rPr>
                <w:rFonts w:ascii="Verdana" w:hAnsi="Verdana" w:cs="Arial"/>
                <w:sz w:val="22"/>
                <w:szCs w:val="22"/>
                <w:lang w:eastAsia="en-GB"/>
              </w:rPr>
              <w:t>People Strategy &amp; Projects Team</w:t>
            </w:r>
          </w:p>
        </w:tc>
        <w:tc>
          <w:tcPr>
            <w:tcW w:w="2410" w:type="dxa"/>
          </w:tcPr>
          <w:p w14:paraId="79E5E720" w14:textId="69AF7298" w:rsidR="00B57CC8" w:rsidRDefault="00B57CC8"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693" w:type="dxa"/>
          </w:tcPr>
          <w:p w14:paraId="03E0ABBE" w14:textId="01F31E37" w:rsidR="00B57CC8" w:rsidRDefault="00400A55" w:rsidP="00616B90">
            <w:pPr>
              <w:spacing w:before="0" w:after="0" w:line="240" w:lineRule="auto"/>
              <w:jc w:val="left"/>
              <w:rPr>
                <w:rFonts w:ascii="Verdana" w:eastAsia="Calibri" w:hAnsi="Verdana" w:cs="Tahoma"/>
                <w:sz w:val="22"/>
                <w:szCs w:val="22"/>
                <w:lang w:val="en-US"/>
              </w:rPr>
            </w:pPr>
            <w:r w:rsidRPr="000701CD">
              <w:rPr>
                <w:rFonts w:ascii="Verdana" w:eastAsia="Calibri" w:hAnsi="Verdana" w:cs="Tahoma"/>
                <w:sz w:val="22"/>
                <w:szCs w:val="22"/>
                <w:lang w:val="en-US"/>
              </w:rPr>
              <w:t>Updated to reflect agreed review date</w:t>
            </w:r>
          </w:p>
        </w:tc>
      </w:tr>
      <w:tr w:rsidR="009672B5" w:rsidRPr="00D21628" w14:paraId="2359B6D0" w14:textId="77777777" w:rsidTr="00C15B3D">
        <w:tc>
          <w:tcPr>
            <w:tcW w:w="1384" w:type="dxa"/>
          </w:tcPr>
          <w:p w14:paraId="33349F3F" w14:textId="044701AF" w:rsidR="009672B5" w:rsidRDefault="009672B5" w:rsidP="00616B90">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7.</w:t>
            </w:r>
          </w:p>
        </w:tc>
        <w:tc>
          <w:tcPr>
            <w:tcW w:w="1559" w:type="dxa"/>
          </w:tcPr>
          <w:p w14:paraId="04CE02A4" w14:textId="1BE2B2AD" w:rsidR="009672B5" w:rsidRPr="000701CD" w:rsidRDefault="009672B5" w:rsidP="00616B90">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07 July 2023</w:t>
            </w:r>
          </w:p>
        </w:tc>
        <w:tc>
          <w:tcPr>
            <w:tcW w:w="1843" w:type="dxa"/>
          </w:tcPr>
          <w:p w14:paraId="6E47FD61" w14:textId="248CDBEA" w:rsidR="009672B5" w:rsidRPr="00762C11" w:rsidRDefault="009672B5" w:rsidP="00616B90">
            <w:pPr>
              <w:spacing w:before="0" w:after="0" w:line="240" w:lineRule="auto"/>
              <w:jc w:val="left"/>
              <w:rPr>
                <w:rFonts w:ascii="Verdana" w:hAnsi="Verdana" w:cs="Arial"/>
                <w:sz w:val="22"/>
                <w:szCs w:val="22"/>
              </w:rPr>
            </w:pPr>
            <w:r w:rsidRPr="009672B5">
              <w:rPr>
                <w:rFonts w:ascii="Verdana" w:hAnsi="Verdana" w:cs="Arial"/>
                <w:sz w:val="22"/>
                <w:szCs w:val="22"/>
              </w:rPr>
              <w:t>People Strategy &amp; Projects Team</w:t>
            </w:r>
          </w:p>
        </w:tc>
        <w:tc>
          <w:tcPr>
            <w:tcW w:w="2410" w:type="dxa"/>
          </w:tcPr>
          <w:p w14:paraId="5AD06E18" w14:textId="2C7AD99D" w:rsidR="009672B5" w:rsidRDefault="009672B5" w:rsidP="00616B90">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693" w:type="dxa"/>
          </w:tcPr>
          <w:p w14:paraId="091C724D" w14:textId="5A6B2E4D" w:rsidR="009672B5" w:rsidRPr="000701CD" w:rsidRDefault="009672B5" w:rsidP="00616B90">
            <w:pPr>
              <w:spacing w:before="0" w:after="0" w:line="240" w:lineRule="auto"/>
              <w:jc w:val="left"/>
              <w:rPr>
                <w:rFonts w:ascii="Verdana" w:eastAsia="Calibri" w:hAnsi="Verdana" w:cs="Tahoma"/>
                <w:sz w:val="22"/>
                <w:szCs w:val="22"/>
                <w:lang w:val="en-US"/>
              </w:rPr>
            </w:pPr>
            <w:r w:rsidRPr="009672B5">
              <w:rPr>
                <w:rFonts w:ascii="Verdana" w:eastAsia="Calibri" w:hAnsi="Verdana" w:cs="Tahoma"/>
                <w:sz w:val="22"/>
                <w:szCs w:val="22"/>
                <w:lang w:val="en-US"/>
              </w:rPr>
              <w:t>Policy updated to reflect revised review date in accordance with planned schedule agreed by CLT</w:t>
            </w:r>
          </w:p>
        </w:tc>
      </w:tr>
    </w:tbl>
    <w:p w14:paraId="6C621BC1" w14:textId="77777777" w:rsidR="001D31F7" w:rsidRPr="001735FB" w:rsidRDefault="001D31F7" w:rsidP="001D31F7">
      <w:pPr>
        <w:spacing w:before="0" w:after="200" w:line="276" w:lineRule="auto"/>
        <w:jc w:val="left"/>
        <w:rPr>
          <w:rFonts w:ascii="Verdana" w:eastAsia="Calibri" w:hAnsi="Verdana"/>
          <w:sz w:val="22"/>
          <w:szCs w:val="22"/>
          <w:lang w:eastAsia="en-US"/>
        </w:rPr>
      </w:pPr>
    </w:p>
    <w:p w14:paraId="0ACFA5AA" w14:textId="77777777" w:rsidR="00560B70" w:rsidRPr="001735FB" w:rsidRDefault="00560B70" w:rsidP="00560B70">
      <w:pPr>
        <w:rPr>
          <w:rFonts w:ascii="Verdana" w:hAnsi="Verdana"/>
          <w:sz w:val="22"/>
          <w:szCs w:val="22"/>
        </w:rPr>
      </w:pPr>
    </w:p>
    <w:p w14:paraId="5B13299F" w14:textId="77777777" w:rsidR="00560B70" w:rsidRPr="001735FB" w:rsidRDefault="00560B70" w:rsidP="00560B70">
      <w:pPr>
        <w:rPr>
          <w:rFonts w:ascii="Verdana" w:hAnsi="Verdana"/>
          <w:sz w:val="22"/>
          <w:szCs w:val="22"/>
        </w:rPr>
      </w:pPr>
    </w:p>
    <w:bookmarkEnd w:id="0"/>
    <w:bookmarkEnd w:id="1"/>
    <w:p w14:paraId="0930A1D1" w14:textId="77777777" w:rsidR="00560B70" w:rsidRPr="001735FB" w:rsidRDefault="00560B70" w:rsidP="00560B70">
      <w:pPr>
        <w:rPr>
          <w:rFonts w:ascii="Verdana" w:hAnsi="Verdana"/>
          <w:sz w:val="22"/>
          <w:szCs w:val="22"/>
        </w:rPr>
      </w:pPr>
    </w:p>
    <w:sectPr w:rsidR="00560B70" w:rsidRPr="001735FB" w:rsidSect="00AD0AF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5402" w14:textId="77777777" w:rsidR="00F70232" w:rsidRDefault="00F70232">
      <w:r>
        <w:separator/>
      </w:r>
    </w:p>
    <w:p w14:paraId="18768CAC" w14:textId="77777777" w:rsidR="00F70232" w:rsidRDefault="00F70232"/>
    <w:p w14:paraId="16FF61F4" w14:textId="77777777" w:rsidR="00F70232" w:rsidRDefault="00F70232" w:rsidP="001E4BAA"/>
  </w:endnote>
  <w:endnote w:type="continuationSeparator" w:id="0">
    <w:p w14:paraId="4351D787" w14:textId="77777777" w:rsidR="00F70232" w:rsidRDefault="00F70232">
      <w:r>
        <w:continuationSeparator/>
      </w:r>
    </w:p>
    <w:p w14:paraId="35C639D9" w14:textId="77777777" w:rsidR="00F70232" w:rsidRDefault="00F70232"/>
    <w:p w14:paraId="10A61194" w14:textId="77777777" w:rsidR="00F70232" w:rsidRDefault="00F70232" w:rsidP="001E4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8C9C" w14:textId="77777777" w:rsidR="00975F74" w:rsidRDefault="00975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53428"/>
      <w:docPartObj>
        <w:docPartGallery w:val="Page Numbers (Bottom of Page)"/>
        <w:docPartUnique/>
      </w:docPartObj>
    </w:sdtPr>
    <w:sdtEndPr/>
    <w:sdtContent>
      <w:sdt>
        <w:sdtPr>
          <w:id w:val="-1669238322"/>
          <w:docPartObj>
            <w:docPartGallery w:val="Page Numbers (Top of Page)"/>
            <w:docPartUnique/>
          </w:docPartObj>
        </w:sdtPr>
        <w:sdtEndPr/>
        <w:sdtContent>
          <w:p w14:paraId="6B22585F" w14:textId="77777777" w:rsidR="00B862A0" w:rsidRDefault="00B862A0">
            <w:pPr>
              <w:pStyle w:val="Footer"/>
              <w:jc w:val="center"/>
            </w:pPr>
            <w:r>
              <w:t xml:space="preserve">Page </w:t>
            </w:r>
            <w:r>
              <w:rPr>
                <w:b w:val="0"/>
                <w:bCs w:val="0"/>
                <w:sz w:val="24"/>
                <w:szCs w:val="24"/>
              </w:rPr>
              <w:fldChar w:fldCharType="begin"/>
            </w:r>
            <w:r>
              <w:instrText xml:space="preserve"> PAGE </w:instrText>
            </w:r>
            <w:r>
              <w:rPr>
                <w:b w:val="0"/>
                <w:bCs w:val="0"/>
                <w:sz w:val="24"/>
                <w:szCs w:val="24"/>
              </w:rPr>
              <w:fldChar w:fldCharType="separate"/>
            </w:r>
            <w:r w:rsidR="00C61C41">
              <w:rPr>
                <w:noProof/>
              </w:rPr>
              <w:t>1</w:t>
            </w:r>
            <w:r>
              <w:rPr>
                <w:b w:val="0"/>
                <w:bCs w:val="0"/>
                <w:sz w:val="24"/>
                <w:szCs w:val="24"/>
              </w:rPr>
              <w:fldChar w:fldCharType="end"/>
            </w:r>
            <w:r>
              <w:t xml:space="preserve"> of </w:t>
            </w:r>
            <w:fldSimple w:instr=" NUMPAGES  ">
              <w:r w:rsidR="00C61C41">
                <w:rPr>
                  <w:noProof/>
                </w:rPr>
                <w:t>10</w:t>
              </w:r>
            </w:fldSimple>
          </w:p>
        </w:sdtContent>
      </w:sdt>
    </w:sdtContent>
  </w:sdt>
  <w:p w14:paraId="1FA530BF" w14:textId="77777777" w:rsidR="00B862A0" w:rsidRDefault="00B862A0">
    <w:pPr>
      <w:pStyle w:val="Footer"/>
    </w:pPr>
  </w:p>
  <w:p w14:paraId="1F4BC929" w14:textId="77777777" w:rsidR="00B862A0" w:rsidRDefault="00B862A0"/>
  <w:p w14:paraId="3970DF18" w14:textId="77777777" w:rsidR="00B862A0" w:rsidRDefault="00B862A0" w:rsidP="001E4B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9BBE" w14:textId="77777777" w:rsidR="00B862A0" w:rsidRDefault="00B862A0">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10</w:t>
      </w:r>
    </w:fldSimple>
  </w:p>
  <w:p w14:paraId="042CACCE" w14:textId="77777777" w:rsidR="00B862A0" w:rsidRDefault="00B862A0" w:rsidP="0042209B">
    <w:pPr>
      <w:pStyle w:val="Footer"/>
      <w:tabs>
        <w:tab w:val="left" w:pos="3560"/>
        <w:tab w:val="right" w:pos="9638"/>
      </w:tabs>
      <w:spacing w:after="567"/>
    </w:pPr>
  </w:p>
  <w:p w14:paraId="40EE1A13" w14:textId="77777777" w:rsidR="00B862A0" w:rsidRDefault="00B862A0"/>
  <w:p w14:paraId="096B306F" w14:textId="77777777" w:rsidR="00B862A0" w:rsidRDefault="00B862A0" w:rsidP="001E4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1D60" w14:textId="77777777" w:rsidR="00F70232" w:rsidRDefault="00F70232">
      <w:r>
        <w:separator/>
      </w:r>
    </w:p>
    <w:p w14:paraId="4A9AF06D" w14:textId="77777777" w:rsidR="00F70232" w:rsidRDefault="00F70232"/>
    <w:p w14:paraId="35065C71" w14:textId="77777777" w:rsidR="00F70232" w:rsidRDefault="00F70232" w:rsidP="001E4BAA"/>
  </w:footnote>
  <w:footnote w:type="continuationSeparator" w:id="0">
    <w:p w14:paraId="55DAA02F" w14:textId="77777777" w:rsidR="00F70232" w:rsidRDefault="00F70232">
      <w:r>
        <w:continuationSeparator/>
      </w:r>
    </w:p>
    <w:p w14:paraId="3F4010AD" w14:textId="77777777" w:rsidR="00F70232" w:rsidRDefault="00F70232"/>
    <w:p w14:paraId="17CCA261" w14:textId="77777777" w:rsidR="00F70232" w:rsidRDefault="00F70232" w:rsidP="001E4BAA"/>
  </w:footnote>
  <w:footnote w:id="1">
    <w:p w14:paraId="6D144304" w14:textId="77777777" w:rsidR="00B862A0" w:rsidRPr="00E042B7" w:rsidRDefault="00B862A0" w:rsidP="0069396B">
      <w:pPr>
        <w:pStyle w:val="FootnoteText"/>
        <w:rPr>
          <w:sz w:val="16"/>
          <w:szCs w:val="16"/>
        </w:rPr>
      </w:pPr>
      <w:r>
        <w:rPr>
          <w:rStyle w:val="FootnoteReference"/>
        </w:rPr>
        <w:footnoteRef/>
      </w:r>
      <w:r>
        <w:t xml:space="preserve"> </w:t>
      </w:r>
      <w:r>
        <w:rPr>
          <w:rFonts w:ascii="Verdana" w:hAnsi="Verdana"/>
          <w:sz w:val="16"/>
          <w:szCs w:val="16"/>
        </w:rPr>
        <w:t>For part day sickness absence the following applies - if less than</w:t>
      </w:r>
      <w:r w:rsidRPr="00E042B7">
        <w:t xml:space="preserve"> </w:t>
      </w:r>
      <w:r w:rsidRPr="00E042B7">
        <w:rPr>
          <w:rFonts w:ascii="Verdana" w:hAnsi="Verdana"/>
          <w:sz w:val="16"/>
          <w:szCs w:val="16"/>
        </w:rPr>
        <w:t>half of the staff member</w:t>
      </w:r>
      <w:r>
        <w:rPr>
          <w:rFonts w:ascii="Verdana" w:hAnsi="Verdana"/>
          <w:sz w:val="16"/>
          <w:szCs w:val="16"/>
        </w:rPr>
        <w:t>’</w:t>
      </w:r>
      <w:r w:rsidRPr="00E042B7">
        <w:rPr>
          <w:rFonts w:ascii="Verdana" w:hAnsi="Verdana"/>
          <w:sz w:val="16"/>
          <w:szCs w:val="16"/>
        </w:rPr>
        <w:t>s normal daily hours are worked before going sick</w:t>
      </w:r>
      <w:r>
        <w:rPr>
          <w:rFonts w:ascii="Verdana" w:hAnsi="Verdana"/>
          <w:sz w:val="16"/>
          <w:szCs w:val="16"/>
        </w:rPr>
        <w:t xml:space="preserve"> this will be recorded </w:t>
      </w:r>
      <w:r w:rsidRPr="00E042B7">
        <w:rPr>
          <w:rFonts w:ascii="Verdana" w:hAnsi="Verdana"/>
          <w:sz w:val="16"/>
          <w:szCs w:val="16"/>
        </w:rPr>
        <w:t xml:space="preserve">as a half day sickness absence. If </w:t>
      </w:r>
      <w:r>
        <w:rPr>
          <w:rFonts w:ascii="Verdana" w:hAnsi="Verdana"/>
          <w:sz w:val="16"/>
          <w:szCs w:val="16"/>
        </w:rPr>
        <w:t>more than</w:t>
      </w:r>
      <w:r w:rsidRPr="00E042B7">
        <w:rPr>
          <w:rFonts w:ascii="Verdana" w:hAnsi="Verdana"/>
          <w:sz w:val="16"/>
          <w:szCs w:val="16"/>
        </w:rPr>
        <w:t xml:space="preserve"> half of the</w:t>
      </w:r>
      <w:r>
        <w:rPr>
          <w:rFonts w:ascii="Verdana" w:hAnsi="Verdana"/>
          <w:sz w:val="16"/>
          <w:szCs w:val="16"/>
        </w:rPr>
        <w:t xml:space="preserve"> staff member’s </w:t>
      </w:r>
      <w:r w:rsidRPr="00E042B7">
        <w:rPr>
          <w:rFonts w:ascii="Verdana" w:hAnsi="Verdana"/>
          <w:sz w:val="16"/>
          <w:szCs w:val="16"/>
        </w:rPr>
        <w:t xml:space="preserve">normal daily hours </w:t>
      </w:r>
      <w:r>
        <w:rPr>
          <w:rFonts w:ascii="Verdana" w:hAnsi="Verdana"/>
          <w:sz w:val="16"/>
          <w:szCs w:val="16"/>
        </w:rPr>
        <w:t>are worked no absence will be recorded for that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346" w14:textId="77777777" w:rsidR="00975F74" w:rsidRDefault="00975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A36" w14:textId="77777777" w:rsidR="00B862A0" w:rsidRDefault="00B862A0" w:rsidP="00217FB9">
    <w:pPr>
      <w:pStyle w:val="Header"/>
      <w:tabs>
        <w:tab w:val="clear" w:pos="4153"/>
        <w:tab w:val="clear" w:pos="8306"/>
        <w:tab w:val="clear" w:pos="9498"/>
        <w:tab w:val="center" w:pos="4819"/>
      </w:tabs>
    </w:pPr>
  </w:p>
  <w:p w14:paraId="25AB7C3A" w14:textId="77777777" w:rsidR="00B862A0" w:rsidRDefault="00B862A0"/>
  <w:p w14:paraId="3EC9720C" w14:textId="77777777" w:rsidR="00B862A0" w:rsidRDefault="00B862A0" w:rsidP="001E4B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02F3" w14:textId="77777777" w:rsidR="00975F74" w:rsidRDefault="00975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B84"/>
    <w:multiLevelType w:val="multilevel"/>
    <w:tmpl w:val="707E1032"/>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0B700B51"/>
    <w:multiLevelType w:val="hybridMultilevel"/>
    <w:tmpl w:val="AD24D1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3" w15:restartNumberingAfterBreak="0">
    <w:nsid w:val="2BB865CE"/>
    <w:multiLevelType w:val="multilevel"/>
    <w:tmpl w:val="3FC82CC2"/>
    <w:lvl w:ilvl="0">
      <w:start w:val="1"/>
      <w:numFmt w:val="decimal"/>
      <w:pStyle w:val="Heading1"/>
      <w:lvlText w:val="%1."/>
      <w:lvlJc w:val="left"/>
      <w:pPr>
        <w:ind w:left="503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D5612EF"/>
    <w:multiLevelType w:val="multilevel"/>
    <w:tmpl w:val="6630D73C"/>
    <w:lvl w:ilvl="0">
      <w:start w:val="1"/>
      <w:numFmt w:val="upperRoman"/>
      <w:lvlText w:val="%1."/>
      <w:lvlJc w:val="right"/>
      <w:pPr>
        <w:ind w:left="502" w:hanging="360"/>
      </w:pPr>
      <w:rPr>
        <w:b w:val="0"/>
        <w:sz w:val="18"/>
        <w:szCs w:val="18"/>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8" w15:restartNumberingAfterBreak="0">
    <w:nsid w:val="51FE46FF"/>
    <w:multiLevelType w:val="hybridMultilevel"/>
    <w:tmpl w:val="D0EC8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D6E0D5B"/>
    <w:multiLevelType w:val="hybridMultilevel"/>
    <w:tmpl w:val="01CC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2" w15:restartNumberingAfterBreak="0">
    <w:nsid w:val="708A3025"/>
    <w:multiLevelType w:val="hybridMultilevel"/>
    <w:tmpl w:val="53321D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555653046">
    <w:abstractNumId w:val="11"/>
  </w:num>
  <w:num w:numId="2" w16cid:durableId="433524860">
    <w:abstractNumId w:val="13"/>
  </w:num>
  <w:num w:numId="3" w16cid:durableId="1062946234">
    <w:abstractNumId w:val="10"/>
  </w:num>
  <w:num w:numId="4" w16cid:durableId="853110161">
    <w:abstractNumId w:val="4"/>
  </w:num>
  <w:num w:numId="5" w16cid:durableId="903099412">
    <w:abstractNumId w:val="5"/>
  </w:num>
  <w:num w:numId="6" w16cid:durableId="922303920">
    <w:abstractNumId w:val="6"/>
  </w:num>
  <w:num w:numId="7" w16cid:durableId="1177573561">
    <w:abstractNumId w:val="2"/>
  </w:num>
  <w:num w:numId="8" w16cid:durableId="286929976">
    <w:abstractNumId w:val="0"/>
  </w:num>
  <w:num w:numId="9" w16cid:durableId="692610749">
    <w:abstractNumId w:val="7"/>
  </w:num>
  <w:num w:numId="10" w16cid:durableId="2145348200">
    <w:abstractNumId w:val="9"/>
  </w:num>
  <w:num w:numId="11" w16cid:durableId="124740581">
    <w:abstractNumId w:val="1"/>
  </w:num>
  <w:num w:numId="12" w16cid:durableId="2028021874">
    <w:abstractNumId w:val="3"/>
  </w:num>
  <w:num w:numId="13" w16cid:durableId="1409425975">
    <w:abstractNumId w:val="3"/>
  </w:num>
  <w:num w:numId="14" w16cid:durableId="963464281">
    <w:abstractNumId w:val="8"/>
  </w:num>
  <w:num w:numId="15" w16cid:durableId="16286577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0850"/>
    <w:rsid w:val="0000143E"/>
    <w:rsid w:val="00004E16"/>
    <w:rsid w:val="00015D3B"/>
    <w:rsid w:val="000226ED"/>
    <w:rsid w:val="00025B04"/>
    <w:rsid w:val="00025D16"/>
    <w:rsid w:val="00026259"/>
    <w:rsid w:val="000378AB"/>
    <w:rsid w:val="00050BA5"/>
    <w:rsid w:val="00076736"/>
    <w:rsid w:val="000805DC"/>
    <w:rsid w:val="000808DB"/>
    <w:rsid w:val="00081694"/>
    <w:rsid w:val="000857A5"/>
    <w:rsid w:val="00086D3B"/>
    <w:rsid w:val="00091D34"/>
    <w:rsid w:val="00092D8C"/>
    <w:rsid w:val="00094BB4"/>
    <w:rsid w:val="000B0A74"/>
    <w:rsid w:val="000B3EB9"/>
    <w:rsid w:val="000B4546"/>
    <w:rsid w:val="000B6695"/>
    <w:rsid w:val="000B6FAE"/>
    <w:rsid w:val="000C5EC1"/>
    <w:rsid w:val="000D315E"/>
    <w:rsid w:val="000D3587"/>
    <w:rsid w:val="000D68AA"/>
    <w:rsid w:val="000E6086"/>
    <w:rsid w:val="000F0102"/>
    <w:rsid w:val="000F3AC8"/>
    <w:rsid w:val="000F71F8"/>
    <w:rsid w:val="00107F23"/>
    <w:rsid w:val="0011192E"/>
    <w:rsid w:val="001166BC"/>
    <w:rsid w:val="00130804"/>
    <w:rsid w:val="001360E7"/>
    <w:rsid w:val="00137B65"/>
    <w:rsid w:val="00137CDE"/>
    <w:rsid w:val="0014528E"/>
    <w:rsid w:val="00151C7B"/>
    <w:rsid w:val="00160FA8"/>
    <w:rsid w:val="00163AC6"/>
    <w:rsid w:val="0016725B"/>
    <w:rsid w:val="001735FB"/>
    <w:rsid w:val="00174897"/>
    <w:rsid w:val="00182033"/>
    <w:rsid w:val="00183DE9"/>
    <w:rsid w:val="00191AE3"/>
    <w:rsid w:val="00191DC2"/>
    <w:rsid w:val="001A0B8C"/>
    <w:rsid w:val="001B0805"/>
    <w:rsid w:val="001B17DB"/>
    <w:rsid w:val="001B19A6"/>
    <w:rsid w:val="001C0519"/>
    <w:rsid w:val="001C12DB"/>
    <w:rsid w:val="001C2D91"/>
    <w:rsid w:val="001D31F7"/>
    <w:rsid w:val="001E160F"/>
    <w:rsid w:val="001E4A59"/>
    <w:rsid w:val="001E4BAA"/>
    <w:rsid w:val="001E52AD"/>
    <w:rsid w:val="001F64C6"/>
    <w:rsid w:val="002039FB"/>
    <w:rsid w:val="00207B71"/>
    <w:rsid w:val="00217FB9"/>
    <w:rsid w:val="00233928"/>
    <w:rsid w:val="002421AE"/>
    <w:rsid w:val="00250A12"/>
    <w:rsid w:val="00271405"/>
    <w:rsid w:val="002928B1"/>
    <w:rsid w:val="00296189"/>
    <w:rsid w:val="00297A08"/>
    <w:rsid w:val="002A439A"/>
    <w:rsid w:val="002B001E"/>
    <w:rsid w:val="002B07DE"/>
    <w:rsid w:val="002C0A6B"/>
    <w:rsid w:val="002C1035"/>
    <w:rsid w:val="002C1AEB"/>
    <w:rsid w:val="002E72A0"/>
    <w:rsid w:val="002F0321"/>
    <w:rsid w:val="002F7A79"/>
    <w:rsid w:val="00301B0D"/>
    <w:rsid w:val="00302307"/>
    <w:rsid w:val="00302B7E"/>
    <w:rsid w:val="0030780B"/>
    <w:rsid w:val="00321A5C"/>
    <w:rsid w:val="003224B6"/>
    <w:rsid w:val="00324D4A"/>
    <w:rsid w:val="00333C70"/>
    <w:rsid w:val="00336441"/>
    <w:rsid w:val="00341247"/>
    <w:rsid w:val="00342205"/>
    <w:rsid w:val="003457BF"/>
    <w:rsid w:val="00351DC7"/>
    <w:rsid w:val="00353DE4"/>
    <w:rsid w:val="0035464D"/>
    <w:rsid w:val="0035635F"/>
    <w:rsid w:val="0036002D"/>
    <w:rsid w:val="00380D4A"/>
    <w:rsid w:val="0038169A"/>
    <w:rsid w:val="003819EF"/>
    <w:rsid w:val="003820EA"/>
    <w:rsid w:val="00387934"/>
    <w:rsid w:val="00392E29"/>
    <w:rsid w:val="003935B9"/>
    <w:rsid w:val="003937ED"/>
    <w:rsid w:val="003A74DB"/>
    <w:rsid w:val="003B413A"/>
    <w:rsid w:val="003B59FE"/>
    <w:rsid w:val="003B6711"/>
    <w:rsid w:val="003B7960"/>
    <w:rsid w:val="003B7F6D"/>
    <w:rsid w:val="003C01F3"/>
    <w:rsid w:val="003C3A00"/>
    <w:rsid w:val="003D2DE9"/>
    <w:rsid w:val="003D4BA0"/>
    <w:rsid w:val="003D5C14"/>
    <w:rsid w:val="003E7280"/>
    <w:rsid w:val="003F6AAD"/>
    <w:rsid w:val="003F782D"/>
    <w:rsid w:val="004007E9"/>
    <w:rsid w:val="00400A55"/>
    <w:rsid w:val="00406843"/>
    <w:rsid w:val="004068C1"/>
    <w:rsid w:val="0041175A"/>
    <w:rsid w:val="00412372"/>
    <w:rsid w:val="00416E6E"/>
    <w:rsid w:val="0042209B"/>
    <w:rsid w:val="0042495D"/>
    <w:rsid w:val="00425F32"/>
    <w:rsid w:val="00431A4C"/>
    <w:rsid w:val="00431F1E"/>
    <w:rsid w:val="00432EF6"/>
    <w:rsid w:val="00433C35"/>
    <w:rsid w:val="00433CE2"/>
    <w:rsid w:val="00436D71"/>
    <w:rsid w:val="00455031"/>
    <w:rsid w:val="0045562B"/>
    <w:rsid w:val="0046602A"/>
    <w:rsid w:val="00473B96"/>
    <w:rsid w:val="00473D40"/>
    <w:rsid w:val="004742E1"/>
    <w:rsid w:val="00475E5E"/>
    <w:rsid w:val="00490CB7"/>
    <w:rsid w:val="004926F8"/>
    <w:rsid w:val="00496A2D"/>
    <w:rsid w:val="004A1068"/>
    <w:rsid w:val="004A34E7"/>
    <w:rsid w:val="004A5BEF"/>
    <w:rsid w:val="004B34A4"/>
    <w:rsid w:val="004B6621"/>
    <w:rsid w:val="004C45A9"/>
    <w:rsid w:val="004C4C82"/>
    <w:rsid w:val="004D0CB2"/>
    <w:rsid w:val="004D357A"/>
    <w:rsid w:val="004D6E65"/>
    <w:rsid w:val="004D730C"/>
    <w:rsid w:val="004E2DF6"/>
    <w:rsid w:val="004E6DC8"/>
    <w:rsid w:val="00506209"/>
    <w:rsid w:val="0051669E"/>
    <w:rsid w:val="00520597"/>
    <w:rsid w:val="0052387E"/>
    <w:rsid w:val="00525A6D"/>
    <w:rsid w:val="00527A0B"/>
    <w:rsid w:val="00533CC3"/>
    <w:rsid w:val="00542863"/>
    <w:rsid w:val="00544B90"/>
    <w:rsid w:val="0054714F"/>
    <w:rsid w:val="00550D8E"/>
    <w:rsid w:val="00551992"/>
    <w:rsid w:val="005519B9"/>
    <w:rsid w:val="0055200C"/>
    <w:rsid w:val="0055234C"/>
    <w:rsid w:val="00555E51"/>
    <w:rsid w:val="00556295"/>
    <w:rsid w:val="005601EC"/>
    <w:rsid w:val="00560B70"/>
    <w:rsid w:val="0059100F"/>
    <w:rsid w:val="005A0C19"/>
    <w:rsid w:val="005B56FE"/>
    <w:rsid w:val="005C22C1"/>
    <w:rsid w:val="005C4490"/>
    <w:rsid w:val="005D1BCB"/>
    <w:rsid w:val="005D753C"/>
    <w:rsid w:val="005D7B15"/>
    <w:rsid w:val="005E5A96"/>
    <w:rsid w:val="005F5D35"/>
    <w:rsid w:val="005F7009"/>
    <w:rsid w:val="00602389"/>
    <w:rsid w:val="0060653A"/>
    <w:rsid w:val="00606BE2"/>
    <w:rsid w:val="00612A9A"/>
    <w:rsid w:val="0061487A"/>
    <w:rsid w:val="0061694A"/>
    <w:rsid w:val="00616B90"/>
    <w:rsid w:val="00622C06"/>
    <w:rsid w:val="00623C20"/>
    <w:rsid w:val="00630F28"/>
    <w:rsid w:val="006339BA"/>
    <w:rsid w:val="00634437"/>
    <w:rsid w:val="006434EB"/>
    <w:rsid w:val="0064768E"/>
    <w:rsid w:val="006561BF"/>
    <w:rsid w:val="00657253"/>
    <w:rsid w:val="00661C30"/>
    <w:rsid w:val="006630FE"/>
    <w:rsid w:val="00665544"/>
    <w:rsid w:val="00667BFD"/>
    <w:rsid w:val="00674191"/>
    <w:rsid w:val="00674636"/>
    <w:rsid w:val="00677896"/>
    <w:rsid w:val="00686C39"/>
    <w:rsid w:val="00691AE2"/>
    <w:rsid w:val="00692A45"/>
    <w:rsid w:val="0069396B"/>
    <w:rsid w:val="00695601"/>
    <w:rsid w:val="006A0881"/>
    <w:rsid w:val="006A33FF"/>
    <w:rsid w:val="006A3744"/>
    <w:rsid w:val="006C27D5"/>
    <w:rsid w:val="006D2638"/>
    <w:rsid w:val="006D4812"/>
    <w:rsid w:val="006D5A0D"/>
    <w:rsid w:val="006D732C"/>
    <w:rsid w:val="006E5D8E"/>
    <w:rsid w:val="006F01F4"/>
    <w:rsid w:val="006F5C05"/>
    <w:rsid w:val="006F66FF"/>
    <w:rsid w:val="00703350"/>
    <w:rsid w:val="0070490E"/>
    <w:rsid w:val="00705D3F"/>
    <w:rsid w:val="00724934"/>
    <w:rsid w:val="00726978"/>
    <w:rsid w:val="00736231"/>
    <w:rsid w:val="00746457"/>
    <w:rsid w:val="007514C0"/>
    <w:rsid w:val="00753248"/>
    <w:rsid w:val="007547D1"/>
    <w:rsid w:val="00755156"/>
    <w:rsid w:val="00761061"/>
    <w:rsid w:val="007620D9"/>
    <w:rsid w:val="00762C11"/>
    <w:rsid w:val="00764DB1"/>
    <w:rsid w:val="00766FDF"/>
    <w:rsid w:val="00770CB9"/>
    <w:rsid w:val="00771395"/>
    <w:rsid w:val="00775D58"/>
    <w:rsid w:val="007906FD"/>
    <w:rsid w:val="00794152"/>
    <w:rsid w:val="007949D3"/>
    <w:rsid w:val="00794D15"/>
    <w:rsid w:val="00795D5B"/>
    <w:rsid w:val="007A457C"/>
    <w:rsid w:val="007B25C4"/>
    <w:rsid w:val="007B4348"/>
    <w:rsid w:val="007C2BEA"/>
    <w:rsid w:val="007C41EC"/>
    <w:rsid w:val="007D01E1"/>
    <w:rsid w:val="007D06E0"/>
    <w:rsid w:val="007D1E37"/>
    <w:rsid w:val="007D2A93"/>
    <w:rsid w:val="007D7C49"/>
    <w:rsid w:val="007F35D2"/>
    <w:rsid w:val="007F6C33"/>
    <w:rsid w:val="00800C70"/>
    <w:rsid w:val="008036C5"/>
    <w:rsid w:val="0080607D"/>
    <w:rsid w:val="00814473"/>
    <w:rsid w:val="00844343"/>
    <w:rsid w:val="00845B76"/>
    <w:rsid w:val="008506C0"/>
    <w:rsid w:val="008543BE"/>
    <w:rsid w:val="008646BF"/>
    <w:rsid w:val="008717D5"/>
    <w:rsid w:val="00891326"/>
    <w:rsid w:val="008963C9"/>
    <w:rsid w:val="008A3B1A"/>
    <w:rsid w:val="008B3ACB"/>
    <w:rsid w:val="008C0053"/>
    <w:rsid w:val="008C0D28"/>
    <w:rsid w:val="008C2AFD"/>
    <w:rsid w:val="008C7A3B"/>
    <w:rsid w:val="008D0D18"/>
    <w:rsid w:val="008F08A7"/>
    <w:rsid w:val="008F0BB0"/>
    <w:rsid w:val="008F2540"/>
    <w:rsid w:val="00902B35"/>
    <w:rsid w:val="00906E31"/>
    <w:rsid w:val="00913C80"/>
    <w:rsid w:val="0091673C"/>
    <w:rsid w:val="009214A9"/>
    <w:rsid w:val="009269AA"/>
    <w:rsid w:val="00934C49"/>
    <w:rsid w:val="00944D85"/>
    <w:rsid w:val="00945B45"/>
    <w:rsid w:val="00947DFB"/>
    <w:rsid w:val="00961660"/>
    <w:rsid w:val="00965437"/>
    <w:rsid w:val="009672B5"/>
    <w:rsid w:val="00971B16"/>
    <w:rsid w:val="00974314"/>
    <w:rsid w:val="0097573E"/>
    <w:rsid w:val="00975F74"/>
    <w:rsid w:val="00976A35"/>
    <w:rsid w:val="00987B63"/>
    <w:rsid w:val="00990FA0"/>
    <w:rsid w:val="0099709B"/>
    <w:rsid w:val="00997363"/>
    <w:rsid w:val="009A5B88"/>
    <w:rsid w:val="009B04F6"/>
    <w:rsid w:val="009B1DE1"/>
    <w:rsid w:val="009B5E67"/>
    <w:rsid w:val="009B6ED4"/>
    <w:rsid w:val="009D06AF"/>
    <w:rsid w:val="009D4917"/>
    <w:rsid w:val="009E1AA1"/>
    <w:rsid w:val="009F06CC"/>
    <w:rsid w:val="009F097C"/>
    <w:rsid w:val="009F2682"/>
    <w:rsid w:val="00A07A7B"/>
    <w:rsid w:val="00A11297"/>
    <w:rsid w:val="00A1473F"/>
    <w:rsid w:val="00A32765"/>
    <w:rsid w:val="00A45878"/>
    <w:rsid w:val="00A460A6"/>
    <w:rsid w:val="00A50344"/>
    <w:rsid w:val="00A772D5"/>
    <w:rsid w:val="00A83E7B"/>
    <w:rsid w:val="00AA0EC9"/>
    <w:rsid w:val="00AB021D"/>
    <w:rsid w:val="00AB3163"/>
    <w:rsid w:val="00AB7E07"/>
    <w:rsid w:val="00AC1CE5"/>
    <w:rsid w:val="00AC778F"/>
    <w:rsid w:val="00AD0083"/>
    <w:rsid w:val="00AD0AFC"/>
    <w:rsid w:val="00AD1DDF"/>
    <w:rsid w:val="00AD439C"/>
    <w:rsid w:val="00AE38AF"/>
    <w:rsid w:val="00AF4BB1"/>
    <w:rsid w:val="00B00242"/>
    <w:rsid w:val="00B07F59"/>
    <w:rsid w:val="00B1575B"/>
    <w:rsid w:val="00B17B74"/>
    <w:rsid w:val="00B218AC"/>
    <w:rsid w:val="00B25919"/>
    <w:rsid w:val="00B33B37"/>
    <w:rsid w:val="00B37E94"/>
    <w:rsid w:val="00B44CB6"/>
    <w:rsid w:val="00B504FB"/>
    <w:rsid w:val="00B57216"/>
    <w:rsid w:val="00B57CC8"/>
    <w:rsid w:val="00B63D15"/>
    <w:rsid w:val="00B6536E"/>
    <w:rsid w:val="00B663B6"/>
    <w:rsid w:val="00B84027"/>
    <w:rsid w:val="00B8577B"/>
    <w:rsid w:val="00B862A0"/>
    <w:rsid w:val="00B86691"/>
    <w:rsid w:val="00B93E5C"/>
    <w:rsid w:val="00BA1ADD"/>
    <w:rsid w:val="00BA3B89"/>
    <w:rsid w:val="00BA6922"/>
    <w:rsid w:val="00BB1880"/>
    <w:rsid w:val="00BB1A5A"/>
    <w:rsid w:val="00BB2DE1"/>
    <w:rsid w:val="00BB499C"/>
    <w:rsid w:val="00BC3DF2"/>
    <w:rsid w:val="00BC5674"/>
    <w:rsid w:val="00BC7D35"/>
    <w:rsid w:val="00BE4B82"/>
    <w:rsid w:val="00BE5973"/>
    <w:rsid w:val="00BE67FB"/>
    <w:rsid w:val="00BF303F"/>
    <w:rsid w:val="00BF56E0"/>
    <w:rsid w:val="00C15B3D"/>
    <w:rsid w:val="00C225E2"/>
    <w:rsid w:val="00C31D90"/>
    <w:rsid w:val="00C3774D"/>
    <w:rsid w:val="00C416CE"/>
    <w:rsid w:val="00C550BF"/>
    <w:rsid w:val="00C61827"/>
    <w:rsid w:val="00C61C41"/>
    <w:rsid w:val="00C63B80"/>
    <w:rsid w:val="00C708AA"/>
    <w:rsid w:val="00C7610A"/>
    <w:rsid w:val="00C77B63"/>
    <w:rsid w:val="00C82221"/>
    <w:rsid w:val="00C85CD1"/>
    <w:rsid w:val="00CB62AA"/>
    <w:rsid w:val="00CD068A"/>
    <w:rsid w:val="00CD380E"/>
    <w:rsid w:val="00CD449F"/>
    <w:rsid w:val="00CE0E3E"/>
    <w:rsid w:val="00CE3B09"/>
    <w:rsid w:val="00CF0E7B"/>
    <w:rsid w:val="00CF4E84"/>
    <w:rsid w:val="00CF6E86"/>
    <w:rsid w:val="00D0310D"/>
    <w:rsid w:val="00D03B4F"/>
    <w:rsid w:val="00D05446"/>
    <w:rsid w:val="00D10D0E"/>
    <w:rsid w:val="00D119C6"/>
    <w:rsid w:val="00D1295E"/>
    <w:rsid w:val="00D15B62"/>
    <w:rsid w:val="00D15BCF"/>
    <w:rsid w:val="00D16884"/>
    <w:rsid w:val="00D260D8"/>
    <w:rsid w:val="00D26527"/>
    <w:rsid w:val="00D26583"/>
    <w:rsid w:val="00D26F8A"/>
    <w:rsid w:val="00D31D65"/>
    <w:rsid w:val="00D435C7"/>
    <w:rsid w:val="00D45BCB"/>
    <w:rsid w:val="00D501F4"/>
    <w:rsid w:val="00D51E6D"/>
    <w:rsid w:val="00D5518F"/>
    <w:rsid w:val="00D62330"/>
    <w:rsid w:val="00D6343F"/>
    <w:rsid w:val="00D67C47"/>
    <w:rsid w:val="00D7159A"/>
    <w:rsid w:val="00D81111"/>
    <w:rsid w:val="00D824C8"/>
    <w:rsid w:val="00D839BE"/>
    <w:rsid w:val="00D91BBF"/>
    <w:rsid w:val="00D94B82"/>
    <w:rsid w:val="00DB36CB"/>
    <w:rsid w:val="00DB5DB7"/>
    <w:rsid w:val="00DE27ED"/>
    <w:rsid w:val="00DE4B89"/>
    <w:rsid w:val="00DE6629"/>
    <w:rsid w:val="00DE6951"/>
    <w:rsid w:val="00E03C9A"/>
    <w:rsid w:val="00E042B7"/>
    <w:rsid w:val="00E05184"/>
    <w:rsid w:val="00E10DE3"/>
    <w:rsid w:val="00E16259"/>
    <w:rsid w:val="00E20B11"/>
    <w:rsid w:val="00E22FCE"/>
    <w:rsid w:val="00E26925"/>
    <w:rsid w:val="00E307D2"/>
    <w:rsid w:val="00E30C3E"/>
    <w:rsid w:val="00E3506E"/>
    <w:rsid w:val="00E37D6D"/>
    <w:rsid w:val="00E5079A"/>
    <w:rsid w:val="00E54792"/>
    <w:rsid w:val="00E57F1F"/>
    <w:rsid w:val="00E6150A"/>
    <w:rsid w:val="00E63C28"/>
    <w:rsid w:val="00E64EAC"/>
    <w:rsid w:val="00E72CAD"/>
    <w:rsid w:val="00E77748"/>
    <w:rsid w:val="00E81F9B"/>
    <w:rsid w:val="00E83224"/>
    <w:rsid w:val="00E85FD4"/>
    <w:rsid w:val="00E91BA0"/>
    <w:rsid w:val="00E946C2"/>
    <w:rsid w:val="00E966D6"/>
    <w:rsid w:val="00E9792E"/>
    <w:rsid w:val="00EA00A7"/>
    <w:rsid w:val="00EA17C7"/>
    <w:rsid w:val="00EA6008"/>
    <w:rsid w:val="00EB2EDD"/>
    <w:rsid w:val="00EB37A5"/>
    <w:rsid w:val="00EC1799"/>
    <w:rsid w:val="00EC2B7A"/>
    <w:rsid w:val="00EC40EC"/>
    <w:rsid w:val="00ED3156"/>
    <w:rsid w:val="00ED5E87"/>
    <w:rsid w:val="00EE1A28"/>
    <w:rsid w:val="00EF20B8"/>
    <w:rsid w:val="00EF3104"/>
    <w:rsid w:val="00EF547E"/>
    <w:rsid w:val="00F02EA1"/>
    <w:rsid w:val="00F03907"/>
    <w:rsid w:val="00F042D7"/>
    <w:rsid w:val="00F13676"/>
    <w:rsid w:val="00F13CA2"/>
    <w:rsid w:val="00F472B4"/>
    <w:rsid w:val="00F50E95"/>
    <w:rsid w:val="00F51A64"/>
    <w:rsid w:val="00F543D9"/>
    <w:rsid w:val="00F57197"/>
    <w:rsid w:val="00F655D8"/>
    <w:rsid w:val="00F70232"/>
    <w:rsid w:val="00F7095B"/>
    <w:rsid w:val="00F72752"/>
    <w:rsid w:val="00F732F8"/>
    <w:rsid w:val="00F8302A"/>
    <w:rsid w:val="00F90C09"/>
    <w:rsid w:val="00F9210D"/>
    <w:rsid w:val="00F95CAB"/>
    <w:rsid w:val="00F972D9"/>
    <w:rsid w:val="00FA5169"/>
    <w:rsid w:val="00FB397A"/>
    <w:rsid w:val="00FB50A8"/>
    <w:rsid w:val="00FB566E"/>
    <w:rsid w:val="00FC1636"/>
    <w:rsid w:val="00FC76BF"/>
    <w:rsid w:val="00FD0FB3"/>
    <w:rsid w:val="00FD1B41"/>
    <w:rsid w:val="00FD44DA"/>
    <w:rsid w:val="00FE3011"/>
    <w:rsid w:val="00FE487E"/>
    <w:rsid w:val="00FE5B28"/>
    <w:rsid w:val="00FE6E67"/>
    <w:rsid w:val="00FE7433"/>
    <w:rsid w:val="00FF3155"/>
    <w:rsid w:val="00FF398D"/>
    <w:rsid w:val="00FF59BF"/>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B671A"/>
  <w15:docId w15:val="{5118789A-CF21-4BD5-8584-ADF7839F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Style1"/>
    <w:next w:val="Normal"/>
    <w:link w:val="Heading1Char"/>
    <w:uiPriority w:val="99"/>
    <w:qFormat/>
    <w:rsid w:val="00BB1A5A"/>
    <w:pPr>
      <w:numPr>
        <w:numId w:val="12"/>
      </w:numPr>
      <w:ind w:left="0" w:firstLine="0"/>
      <w:outlineLvl w:val="0"/>
    </w:p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1A5A"/>
    <w:rPr>
      <w:rFonts w:ascii="Verdana" w:hAnsi="Verdana"/>
      <w:b/>
      <w:sz w:val="22"/>
      <w:szCs w:val="22"/>
      <w:lang w:eastAsia="en-US"/>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1E4BAA"/>
    <w:pPr>
      <w:spacing w:before="100" w:beforeAutospacing="1" w:after="100" w:afterAutospacing="1" w:line="240" w:lineRule="auto"/>
      <w:jc w:val="left"/>
      <w:outlineLvl w:val="3"/>
    </w:pPr>
    <w:rPr>
      <w:rFonts w:ascii="Verdana" w:hAnsi="Verdana" w:cs="Times New Roman"/>
      <w:b/>
      <w:sz w:val="22"/>
      <w:szCs w:val="22"/>
      <w:lang w:eastAsia="en-US"/>
    </w:rPr>
  </w:style>
  <w:style w:type="character" w:customStyle="1" w:styleId="Style1Char">
    <w:name w:val="Style1 Char"/>
    <w:basedOn w:val="DefaultParagraphFont"/>
    <w:link w:val="Style1"/>
    <w:rsid w:val="001E4BAA"/>
    <w:rPr>
      <w:rFonts w:ascii="Verdana" w:hAnsi="Verdana"/>
      <w:b/>
      <w:sz w:val="22"/>
      <w:szCs w:val="22"/>
      <w:lang w:eastAsia="en-US"/>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uiPriority w:val="99"/>
    <w:semiHidden/>
    <w:unhideWhenUsed/>
    <w:rsid w:val="00845B76"/>
    <w:rPr>
      <w:rFonts w:ascii="Times New Roman" w:hAnsi="Times New Roman" w:cs="Times New Roman"/>
    </w:rPr>
  </w:style>
  <w:style w:type="paragraph" w:styleId="FootnoteText">
    <w:name w:val="footnote text"/>
    <w:basedOn w:val="Normal"/>
    <w:link w:val="FootnoteTextChar"/>
    <w:uiPriority w:val="99"/>
    <w:semiHidden/>
    <w:unhideWhenUsed/>
    <w:rsid w:val="003D5C1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D5C14"/>
    <w:rPr>
      <w:rFonts w:ascii="Gill Alt One MT" w:hAnsi="Gill Alt One MT" w:cs="Gill Alt One MT"/>
    </w:rPr>
  </w:style>
  <w:style w:type="character" w:styleId="FootnoteReference">
    <w:name w:val="footnote reference"/>
    <w:basedOn w:val="DefaultParagraphFont"/>
    <w:uiPriority w:val="99"/>
    <w:semiHidden/>
    <w:unhideWhenUsed/>
    <w:rsid w:val="003D5C14"/>
    <w:rPr>
      <w:vertAlign w:val="superscript"/>
    </w:rPr>
  </w:style>
  <w:style w:type="character" w:styleId="CommentReference">
    <w:name w:val="annotation reference"/>
    <w:basedOn w:val="DefaultParagraphFont"/>
    <w:uiPriority w:val="99"/>
    <w:semiHidden/>
    <w:unhideWhenUsed/>
    <w:rsid w:val="000F71F8"/>
    <w:rPr>
      <w:sz w:val="16"/>
      <w:szCs w:val="16"/>
    </w:rPr>
  </w:style>
  <w:style w:type="paragraph" w:styleId="CommentText">
    <w:name w:val="annotation text"/>
    <w:basedOn w:val="Normal"/>
    <w:link w:val="CommentTextChar"/>
    <w:uiPriority w:val="99"/>
    <w:semiHidden/>
    <w:unhideWhenUsed/>
    <w:rsid w:val="000F71F8"/>
    <w:pPr>
      <w:spacing w:line="240" w:lineRule="auto"/>
    </w:pPr>
    <w:rPr>
      <w:sz w:val="20"/>
      <w:szCs w:val="20"/>
    </w:rPr>
  </w:style>
  <w:style w:type="character" w:customStyle="1" w:styleId="CommentTextChar">
    <w:name w:val="Comment Text Char"/>
    <w:basedOn w:val="DefaultParagraphFont"/>
    <w:link w:val="CommentText"/>
    <w:uiPriority w:val="99"/>
    <w:semiHidden/>
    <w:rsid w:val="000F71F8"/>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0F71F8"/>
    <w:rPr>
      <w:b/>
      <w:bCs/>
    </w:rPr>
  </w:style>
  <w:style w:type="character" w:customStyle="1" w:styleId="CommentSubjectChar">
    <w:name w:val="Comment Subject Char"/>
    <w:basedOn w:val="CommentTextChar"/>
    <w:link w:val="CommentSubject"/>
    <w:uiPriority w:val="99"/>
    <w:semiHidden/>
    <w:rsid w:val="000F71F8"/>
    <w:rPr>
      <w:rFonts w:ascii="Gill Alt One MT" w:hAnsi="Gill Alt One MT" w:cs="Gill Alt One MT"/>
      <w:b/>
      <w:bCs/>
    </w:rPr>
  </w:style>
  <w:style w:type="character" w:styleId="Emphasis">
    <w:name w:val="Emphasis"/>
    <w:aliases w:val="2nd heading"/>
    <w:qFormat/>
    <w:rsid w:val="003B413A"/>
    <w:rPr>
      <w:rFonts w:ascii="Verdana" w:hAnsi="Verdana"/>
      <w:b/>
      <w:i w:val="0"/>
      <w:iCs/>
      <w:sz w:val="24"/>
    </w:rPr>
  </w:style>
  <w:style w:type="paragraph" w:styleId="Revision">
    <w:name w:val="Revision"/>
    <w:hidden/>
    <w:uiPriority w:val="99"/>
    <w:semiHidden/>
    <w:rsid w:val="00606BE2"/>
    <w:rPr>
      <w:rFonts w:ascii="Gill Alt One MT" w:hAnsi="Gill Alt One MT" w:cs="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2241">
      <w:bodyDiv w:val="1"/>
      <w:marLeft w:val="0"/>
      <w:marRight w:val="0"/>
      <w:marTop w:val="0"/>
      <w:marBottom w:val="0"/>
      <w:divBdr>
        <w:top w:val="none" w:sz="0" w:space="0" w:color="auto"/>
        <w:left w:val="none" w:sz="0" w:space="0" w:color="auto"/>
        <w:bottom w:val="none" w:sz="0" w:space="0" w:color="auto"/>
        <w:right w:val="none" w:sz="0" w:space="0" w:color="auto"/>
      </w:divBdr>
    </w:div>
    <w:div w:id="408158839">
      <w:bodyDiv w:val="1"/>
      <w:marLeft w:val="0"/>
      <w:marRight w:val="0"/>
      <w:marTop w:val="0"/>
      <w:marBottom w:val="0"/>
      <w:divBdr>
        <w:top w:val="none" w:sz="0" w:space="0" w:color="auto"/>
        <w:left w:val="none" w:sz="0" w:space="0" w:color="auto"/>
        <w:bottom w:val="none" w:sz="0" w:space="0" w:color="auto"/>
        <w:right w:val="none" w:sz="0" w:space="0" w:color="auto"/>
      </w:divBdr>
    </w:div>
    <w:div w:id="460461912">
      <w:bodyDiv w:val="1"/>
      <w:marLeft w:val="0"/>
      <w:marRight w:val="0"/>
      <w:marTop w:val="0"/>
      <w:marBottom w:val="0"/>
      <w:divBdr>
        <w:top w:val="none" w:sz="0" w:space="0" w:color="auto"/>
        <w:left w:val="none" w:sz="0" w:space="0" w:color="auto"/>
        <w:bottom w:val="none" w:sz="0" w:space="0" w:color="auto"/>
        <w:right w:val="none" w:sz="0" w:space="0" w:color="auto"/>
      </w:divBdr>
    </w:div>
    <w:div w:id="528841542">
      <w:bodyDiv w:val="1"/>
      <w:marLeft w:val="0"/>
      <w:marRight w:val="0"/>
      <w:marTop w:val="0"/>
      <w:marBottom w:val="0"/>
      <w:divBdr>
        <w:top w:val="none" w:sz="0" w:space="0" w:color="auto"/>
        <w:left w:val="none" w:sz="0" w:space="0" w:color="auto"/>
        <w:bottom w:val="none" w:sz="0" w:space="0" w:color="auto"/>
        <w:right w:val="none" w:sz="0" w:space="0" w:color="auto"/>
      </w:divBdr>
    </w:div>
    <w:div w:id="1111359978">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598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velink.barnardos.org.uk:80/livelink91/livelink.exe/open/8938923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velink.barnardos.org.uk:80/livelink91/livelink.exe/open/893892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link.barnardos.org.uk:80/livelink91/livelink.exe/open/20140892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velink.barnardos.org.uk:80/livelink91/livelink.exe/wiki/199503525/Accruing%20and%20taking%20annual%20leave%20during%20sickness%20abse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velink.barnardos.org.uk/livelink91/livelink.exe/fetch/2000/7542619/13115626/13376024/201376275/Barnardo_s_Sickness_Payment_Schemes.pdf?nodeid=201376276&amp;vernum=-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8728-086E-4649-A914-33BA37C3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3648</Words>
  <Characters>20795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Karen Hawes</cp:lastModifiedBy>
  <cp:revision>2</cp:revision>
  <cp:lastPrinted>2017-07-05T11:14:00Z</cp:lastPrinted>
  <dcterms:created xsi:type="dcterms:W3CDTF">2023-07-06T09:26:00Z</dcterms:created>
  <dcterms:modified xsi:type="dcterms:W3CDTF">2023-07-06T09:26:00Z</dcterms:modified>
</cp:coreProperties>
</file>