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5630" w:rsidR="00083701" w:rsidP="00083701" w:rsidRDefault="00083701" w14:paraId="332DA1BD" w14:textId="77777777">
      <w:pPr>
        <w:tabs>
          <w:tab w:val="left" w:pos="-142"/>
        </w:tabs>
        <w:spacing w:before="0" w:after="0" w:line="240" w:lineRule="auto"/>
        <w:ind w:left="-187" w:right="102"/>
        <w:jc w:val="left"/>
        <w:rPr>
          <w:rFonts w:ascii="Verdana" w:hAnsi="Verdana"/>
          <w:color w:val="FFFFFF"/>
          <w:sz w:val="20"/>
          <w:szCs w:val="20"/>
        </w:rPr>
      </w:pPr>
    </w:p>
    <w:tbl>
      <w:tblPr>
        <w:tblStyle w:val="TableGrid"/>
        <w:tblW w:w="0" w:type="auto"/>
        <w:tblLayout w:type="fixed"/>
        <w:tblLook w:val="06A0" w:firstRow="1" w:lastRow="0" w:firstColumn="1" w:lastColumn="0" w:noHBand="1" w:noVBand="1"/>
      </w:tblPr>
      <w:tblGrid>
        <w:gridCol w:w="2070"/>
        <w:gridCol w:w="1830"/>
        <w:gridCol w:w="1920"/>
        <w:gridCol w:w="4635"/>
      </w:tblGrid>
      <w:tr w:rsidR="104354B5" w:rsidTr="104354B5" w14:paraId="17216336">
        <w:trPr>
          <w:trHeight w:val="300"/>
        </w:trPr>
        <w:tc>
          <w:tcPr>
            <w:tcW w:w="3900" w:type="dxa"/>
            <w:gridSpan w:val="2"/>
            <w:tcBorders>
              <w:top w:val="none" w:color="000000" w:themeColor="text1" w:sz="4"/>
              <w:left w:val="none" w:color="000000" w:themeColor="text1" w:sz="4"/>
              <w:bottom w:val="single" w:color="000000" w:themeColor="text1" w:sz="8"/>
              <w:right w:val="none" w:color="000000" w:themeColor="text1" w:sz="12"/>
            </w:tcBorders>
            <w:tcMar/>
          </w:tcPr>
          <w:p w:rsidR="208C36A7" w:rsidP="104354B5" w:rsidRDefault="208C36A7" w14:paraId="0EDFD367" w14:textId="43ADCD32">
            <w:pPr>
              <w:pStyle w:val="Normal"/>
              <w:rPr>
                <w:rFonts w:ascii="Aptos" w:hAnsi="Aptos" w:eastAsia="Aptos" w:cs="Aptos"/>
                <w:color w:val="0000FF"/>
              </w:rPr>
            </w:pPr>
            <w:r w:rsidR="208C36A7">
              <w:drawing>
                <wp:inline wp14:editId="459F6245" wp14:anchorId="77EDBB3A">
                  <wp:extent cx="1403413" cy="732664"/>
                  <wp:effectExtent l="0" t="0" r="5715" b="3810"/>
                  <wp:docPr id="295962549" name="Picture 1" title=""/>
                  <wp:cNvGraphicFramePr>
                    <a:graphicFrameLocks noChangeAspect="1"/>
                  </wp:cNvGraphicFramePr>
                  <a:graphic>
                    <a:graphicData uri="http://schemas.openxmlformats.org/drawingml/2006/picture">
                      <pic:pic>
                        <pic:nvPicPr>
                          <pic:cNvPr id="0" name="Picture 1"/>
                          <pic:cNvPicPr/>
                        </pic:nvPicPr>
                        <pic:blipFill>
                          <a:blip r:embed="R2c902ab0aeea44d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403413" cy="732664"/>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tc>
        <w:tc>
          <w:tcPr>
            <w:tcW w:w="6555" w:type="dxa"/>
            <w:gridSpan w:val="2"/>
            <w:tcBorders>
              <w:top w:val="none" w:color="000000" w:themeColor="text1" w:sz="12"/>
              <w:left w:val="none" w:color="000000" w:themeColor="text1" w:sz="12"/>
              <w:bottom w:val="single" w:color="000000" w:themeColor="text1" w:sz="8"/>
              <w:right w:val="none" w:color="000000" w:themeColor="text1" w:sz="12"/>
            </w:tcBorders>
            <w:tcMar/>
          </w:tcPr>
          <w:p w:rsidR="208C36A7" w:rsidP="104354B5" w:rsidRDefault="208C36A7" w14:paraId="11074165" w14:textId="1CCDF177">
            <w:pPr>
              <w:tabs>
                <w:tab w:val="left" w:leader="none" w:pos="5000"/>
              </w:tabs>
              <w:spacing w:before="0" w:after="0" w:line="240" w:lineRule="auto"/>
              <w:ind w:left="-142"/>
              <w:jc w:val="left"/>
              <w:rPr>
                <w:rFonts w:ascii="Aptos" w:hAnsi="Aptos" w:eastAsia="Aptos" w:cs="Aptos"/>
                <w:i w:val="1"/>
                <w:iCs w:val="1"/>
                <w:sz w:val="22"/>
                <w:szCs w:val="22"/>
              </w:rPr>
            </w:pPr>
            <w:r w:rsidRPr="104354B5" w:rsidR="208C36A7">
              <w:rPr>
                <w:rFonts w:ascii="Aptos" w:hAnsi="Aptos" w:eastAsia="Aptos" w:cs="Aptos"/>
                <w:b w:val="1"/>
                <w:bCs w:val="1"/>
              </w:rPr>
              <w:t>Group Safety Policy Statement</w:t>
            </w:r>
          </w:p>
          <w:p w:rsidR="104354B5" w:rsidP="104354B5" w:rsidRDefault="104354B5" w14:paraId="598B5B2B" w14:textId="7EA5D150">
            <w:pPr>
              <w:tabs>
                <w:tab w:val="left" w:leader="none" w:pos="5000"/>
              </w:tabs>
              <w:spacing w:before="0" w:after="0" w:line="240" w:lineRule="auto"/>
              <w:ind w:left="-142"/>
              <w:jc w:val="left"/>
              <w:rPr>
                <w:rFonts w:ascii="Aptos" w:hAnsi="Aptos" w:eastAsia="Aptos" w:cs="Aptos"/>
                <w:i w:val="1"/>
                <w:iCs w:val="1"/>
                <w:sz w:val="22"/>
                <w:szCs w:val="22"/>
              </w:rPr>
            </w:pPr>
          </w:p>
          <w:p w:rsidR="208C36A7" w:rsidP="104354B5" w:rsidRDefault="208C36A7" w14:paraId="6339301E" w14:textId="277F3615">
            <w:pPr>
              <w:tabs>
                <w:tab w:val="left" w:leader="none" w:pos="5000"/>
              </w:tabs>
              <w:spacing w:before="0" w:after="0" w:line="240" w:lineRule="auto"/>
              <w:ind w:left="-142"/>
              <w:jc w:val="left"/>
              <w:rPr>
                <w:rFonts w:ascii="Aptos" w:hAnsi="Aptos" w:eastAsia="Aptos" w:cs="Aptos"/>
                <w:i w:val="1"/>
                <w:iCs w:val="1"/>
                <w:sz w:val="20"/>
                <w:szCs w:val="20"/>
              </w:rPr>
            </w:pPr>
            <w:r w:rsidRPr="104354B5" w:rsidR="208C36A7">
              <w:rPr>
                <w:rFonts w:ascii="Aptos" w:hAnsi="Aptos" w:eastAsia="Aptos" w:cs="Aptos"/>
                <w:i w:val="1"/>
                <w:iCs w:val="1"/>
                <w:sz w:val="20"/>
                <w:szCs w:val="20"/>
              </w:rPr>
              <w:t>This policy statement is made on behalf of Barnardo's and its subsidiaries</w:t>
            </w:r>
          </w:p>
        </w:tc>
      </w:tr>
      <w:tr w:rsidR="104354B5" w:rsidTr="104354B5" w14:paraId="5196A84C">
        <w:trPr>
          <w:trHeight w:val="300"/>
        </w:trPr>
        <w:tc>
          <w:tcPr>
            <w:tcW w:w="2070" w:type="dxa"/>
            <w:tcBorders>
              <w:top w:val="single" w:color="000000" w:themeColor="text1" w:sz="8"/>
            </w:tcBorders>
            <w:tcMar/>
          </w:tcPr>
          <w:p w:rsidR="208C36A7" w:rsidP="104354B5" w:rsidRDefault="208C36A7" w14:paraId="1DE38EA7" w14:textId="72F8D2D8">
            <w:pPr>
              <w:pStyle w:val="Normal"/>
              <w:rPr>
                <w:rFonts w:ascii="Aptos" w:hAnsi="Aptos" w:eastAsia="Aptos" w:cs="Aptos"/>
                <w:b w:val="1"/>
                <w:bCs w:val="1"/>
                <w:color w:val="000000" w:themeColor="text1" w:themeTint="FF" w:themeShade="FF"/>
                <w:sz w:val="20"/>
                <w:szCs w:val="20"/>
              </w:rPr>
            </w:pPr>
            <w:r w:rsidRPr="104354B5" w:rsidR="208C36A7">
              <w:rPr>
                <w:rFonts w:ascii="Aptos" w:hAnsi="Aptos" w:eastAsia="Aptos" w:cs="Aptos"/>
                <w:b w:val="1"/>
                <w:bCs w:val="1"/>
                <w:color w:val="000000" w:themeColor="text1" w:themeTint="FF" w:themeShade="FF"/>
                <w:sz w:val="20"/>
                <w:szCs w:val="20"/>
              </w:rPr>
              <w:t xml:space="preserve">Date:  </w:t>
            </w:r>
          </w:p>
        </w:tc>
        <w:tc>
          <w:tcPr>
            <w:tcW w:w="1830" w:type="dxa"/>
            <w:tcBorders>
              <w:top w:val="single" w:color="000000" w:themeColor="text1" w:sz="8"/>
            </w:tcBorders>
            <w:tcMar/>
          </w:tcPr>
          <w:p w:rsidR="208C36A7" w:rsidP="104354B5" w:rsidRDefault="208C36A7" w14:paraId="4F08AA11" w14:textId="4B88A1DE">
            <w:pPr>
              <w:pStyle w:val="Normal"/>
              <w:rPr>
                <w:rFonts w:ascii="Aptos" w:hAnsi="Aptos" w:eastAsia="Aptos" w:cs="Aptos"/>
                <w:color w:val="000000" w:themeColor="text1" w:themeTint="FF" w:themeShade="FF"/>
                <w:sz w:val="20"/>
                <w:szCs w:val="20"/>
              </w:rPr>
            </w:pPr>
            <w:r w:rsidRPr="104354B5" w:rsidR="208C36A7">
              <w:rPr>
                <w:rFonts w:ascii="Aptos" w:hAnsi="Aptos" w:eastAsia="Aptos" w:cs="Aptos"/>
                <w:color w:val="000000" w:themeColor="text1" w:themeTint="FF" w:themeShade="FF"/>
                <w:sz w:val="20"/>
                <w:szCs w:val="20"/>
              </w:rPr>
              <w:t>February 2024</w:t>
            </w:r>
          </w:p>
        </w:tc>
        <w:tc>
          <w:tcPr>
            <w:tcW w:w="1920" w:type="dxa"/>
            <w:tcBorders>
              <w:top w:val="single" w:color="000000" w:themeColor="text1" w:sz="8"/>
            </w:tcBorders>
            <w:tcMar/>
          </w:tcPr>
          <w:p w:rsidR="208C36A7" w:rsidP="104354B5" w:rsidRDefault="208C36A7" w14:paraId="6317B06F" w14:textId="66C017E7">
            <w:pPr>
              <w:pStyle w:val="Normal"/>
              <w:rPr>
                <w:rFonts w:ascii="Aptos" w:hAnsi="Aptos" w:eastAsia="Aptos" w:cs="Aptos"/>
                <w:b w:val="1"/>
                <w:bCs w:val="1"/>
                <w:color w:val="000000" w:themeColor="text1" w:themeTint="FF" w:themeShade="FF"/>
                <w:sz w:val="20"/>
                <w:szCs w:val="20"/>
              </w:rPr>
            </w:pPr>
            <w:r w:rsidRPr="104354B5" w:rsidR="208C36A7">
              <w:rPr>
                <w:rFonts w:ascii="Aptos" w:hAnsi="Aptos" w:eastAsia="Aptos" w:cs="Aptos"/>
                <w:b w:val="1"/>
                <w:bCs w:val="1"/>
                <w:color w:val="000000" w:themeColor="text1" w:themeTint="FF" w:themeShade="FF"/>
                <w:sz w:val="20"/>
                <w:szCs w:val="20"/>
              </w:rPr>
              <w:t>Review Date:</w:t>
            </w:r>
          </w:p>
        </w:tc>
        <w:tc>
          <w:tcPr>
            <w:tcW w:w="4635" w:type="dxa"/>
            <w:tcBorders>
              <w:top w:val="single" w:color="000000" w:themeColor="text1" w:sz="8"/>
            </w:tcBorders>
            <w:tcMar/>
          </w:tcPr>
          <w:p w:rsidR="208C36A7" w:rsidP="104354B5" w:rsidRDefault="208C36A7" w14:paraId="0884A963" w14:textId="38CC1E76">
            <w:pPr>
              <w:spacing w:before="0" w:after="0" w:line="240" w:lineRule="auto"/>
              <w:ind w:right="102"/>
              <w:jc w:val="left"/>
              <w:rPr>
                <w:rFonts w:ascii="Aptos" w:hAnsi="Aptos" w:eastAsia="Aptos" w:cs="Aptos"/>
                <w:color w:val="FFFFFF" w:themeColor="background1" w:themeTint="FF" w:themeShade="FF"/>
                <w:sz w:val="20"/>
                <w:szCs w:val="20"/>
              </w:rPr>
            </w:pPr>
            <w:r w:rsidRPr="104354B5" w:rsidR="208C36A7">
              <w:rPr>
                <w:rFonts w:ascii="Aptos" w:hAnsi="Aptos" w:eastAsia="Aptos" w:cs="Aptos"/>
                <w:sz w:val="20"/>
                <w:szCs w:val="20"/>
                <w:lang w:eastAsia="en-US"/>
              </w:rPr>
              <w:t>February 2026 (2-year review cycle)</w:t>
            </w:r>
          </w:p>
        </w:tc>
      </w:tr>
      <w:tr w:rsidR="104354B5" w:rsidTr="104354B5" w14:paraId="1F1FDA77">
        <w:trPr>
          <w:trHeight w:val="300"/>
        </w:trPr>
        <w:tc>
          <w:tcPr>
            <w:tcW w:w="2070" w:type="dxa"/>
            <w:tcMar/>
          </w:tcPr>
          <w:p w:rsidR="208C36A7" w:rsidP="104354B5" w:rsidRDefault="208C36A7" w14:paraId="4F2D1C48" w14:textId="0E9FD811">
            <w:pPr>
              <w:pStyle w:val="Normal"/>
              <w:rPr>
                <w:rFonts w:ascii="Aptos" w:hAnsi="Aptos" w:eastAsia="Aptos" w:cs="Aptos"/>
                <w:b w:val="1"/>
                <w:bCs w:val="1"/>
                <w:color w:val="000000" w:themeColor="text1" w:themeTint="FF" w:themeShade="FF"/>
                <w:sz w:val="20"/>
                <w:szCs w:val="20"/>
              </w:rPr>
            </w:pPr>
            <w:r w:rsidRPr="104354B5" w:rsidR="208C36A7">
              <w:rPr>
                <w:rFonts w:ascii="Aptos" w:hAnsi="Aptos" w:eastAsia="Aptos" w:cs="Aptos"/>
                <w:b w:val="1"/>
                <w:bCs w:val="1"/>
                <w:color w:val="000000" w:themeColor="text1" w:themeTint="FF" w:themeShade="FF"/>
                <w:sz w:val="20"/>
                <w:szCs w:val="20"/>
              </w:rPr>
              <w:t>Policy Sponsor:</w:t>
            </w:r>
          </w:p>
        </w:tc>
        <w:tc>
          <w:tcPr>
            <w:tcW w:w="1830" w:type="dxa"/>
            <w:tcMar/>
          </w:tcPr>
          <w:p w:rsidR="208C36A7" w:rsidP="104354B5" w:rsidRDefault="208C36A7" w14:paraId="47CE410D" w14:textId="7D5566E3">
            <w:pPr>
              <w:pStyle w:val="Normal"/>
              <w:rPr>
                <w:rFonts w:ascii="Aptos" w:hAnsi="Aptos" w:eastAsia="Aptos" w:cs="Aptos"/>
                <w:color w:val="000000" w:themeColor="text1" w:themeTint="FF" w:themeShade="FF"/>
                <w:sz w:val="20"/>
                <w:szCs w:val="20"/>
              </w:rPr>
            </w:pPr>
            <w:r w:rsidRPr="104354B5" w:rsidR="208C36A7">
              <w:rPr>
                <w:rFonts w:ascii="Aptos" w:hAnsi="Aptos" w:eastAsia="Aptos" w:cs="Aptos"/>
                <w:color w:val="000000" w:themeColor="text1" w:themeTint="FF" w:themeShade="FF"/>
                <w:sz w:val="20"/>
                <w:szCs w:val="20"/>
              </w:rPr>
              <w:t>CEO</w:t>
            </w:r>
          </w:p>
        </w:tc>
        <w:tc>
          <w:tcPr>
            <w:tcW w:w="1920" w:type="dxa"/>
            <w:tcMar/>
          </w:tcPr>
          <w:p w:rsidR="208C36A7" w:rsidP="104354B5" w:rsidRDefault="208C36A7" w14:paraId="055464AB" w14:textId="15441DFC">
            <w:pPr>
              <w:pStyle w:val="Normal"/>
              <w:rPr>
                <w:rFonts w:ascii="Aptos" w:hAnsi="Aptos" w:eastAsia="Aptos" w:cs="Aptos"/>
                <w:b w:val="1"/>
                <w:bCs w:val="1"/>
                <w:color w:val="000000" w:themeColor="text1" w:themeTint="FF" w:themeShade="FF"/>
                <w:sz w:val="20"/>
                <w:szCs w:val="20"/>
              </w:rPr>
            </w:pPr>
            <w:r w:rsidRPr="104354B5" w:rsidR="208C36A7">
              <w:rPr>
                <w:rFonts w:ascii="Aptos" w:hAnsi="Aptos" w:eastAsia="Aptos" w:cs="Aptos"/>
                <w:b w:val="1"/>
                <w:bCs w:val="1"/>
                <w:color w:val="000000" w:themeColor="text1" w:themeTint="FF" w:themeShade="FF"/>
                <w:sz w:val="20"/>
                <w:szCs w:val="20"/>
              </w:rPr>
              <w:t>Policy Owner:</w:t>
            </w:r>
          </w:p>
        </w:tc>
        <w:tc>
          <w:tcPr>
            <w:tcW w:w="4635" w:type="dxa"/>
            <w:tcMar/>
          </w:tcPr>
          <w:p w:rsidR="208C36A7" w:rsidP="104354B5" w:rsidRDefault="208C36A7" w14:paraId="402AEC5B" w14:textId="1F153F0F">
            <w:pPr>
              <w:pStyle w:val="Normal"/>
              <w:rPr>
                <w:rFonts w:ascii="Aptos" w:hAnsi="Aptos" w:eastAsia="Aptos" w:cs="Aptos"/>
                <w:color w:val="000000" w:themeColor="text1" w:themeTint="FF" w:themeShade="FF"/>
                <w:sz w:val="20"/>
                <w:szCs w:val="20"/>
              </w:rPr>
            </w:pPr>
            <w:r w:rsidRPr="104354B5" w:rsidR="208C36A7">
              <w:rPr>
                <w:rFonts w:ascii="Aptos" w:hAnsi="Aptos" w:eastAsia="Aptos" w:cs="Aptos"/>
                <w:color w:val="000000" w:themeColor="text1" w:themeTint="FF" w:themeShade="FF"/>
                <w:sz w:val="20"/>
                <w:szCs w:val="20"/>
              </w:rPr>
              <w:t xml:space="preserve">Head of Corporate Safety </w:t>
            </w:r>
          </w:p>
        </w:tc>
      </w:tr>
      <w:tr w:rsidR="104354B5" w:rsidTr="104354B5" w14:paraId="3FB7C7B9">
        <w:trPr>
          <w:trHeight w:val="300"/>
        </w:trPr>
        <w:tc>
          <w:tcPr>
            <w:tcW w:w="2070" w:type="dxa"/>
            <w:tcMar/>
          </w:tcPr>
          <w:p w:rsidR="208C36A7" w:rsidP="104354B5" w:rsidRDefault="208C36A7" w14:paraId="502BB19A" w14:textId="496A7C0C">
            <w:pPr>
              <w:pStyle w:val="Normal"/>
              <w:rPr>
                <w:rFonts w:ascii="Aptos" w:hAnsi="Aptos" w:eastAsia="Aptos" w:cs="Aptos"/>
                <w:b w:val="1"/>
                <w:bCs w:val="1"/>
                <w:color w:val="000000" w:themeColor="text1" w:themeTint="FF" w:themeShade="FF"/>
                <w:sz w:val="20"/>
                <w:szCs w:val="20"/>
              </w:rPr>
            </w:pPr>
            <w:r w:rsidRPr="104354B5" w:rsidR="208C36A7">
              <w:rPr>
                <w:rFonts w:ascii="Aptos" w:hAnsi="Aptos" w:eastAsia="Aptos" w:cs="Aptos"/>
                <w:b w:val="1"/>
                <w:bCs w:val="1"/>
                <w:color w:val="000000" w:themeColor="text1" w:themeTint="FF" w:themeShade="FF"/>
                <w:sz w:val="20"/>
                <w:szCs w:val="20"/>
              </w:rPr>
              <w:t>Distribution:</w:t>
            </w:r>
          </w:p>
        </w:tc>
        <w:tc>
          <w:tcPr>
            <w:tcW w:w="8385" w:type="dxa"/>
            <w:gridSpan w:val="3"/>
            <w:tcMar/>
          </w:tcPr>
          <w:p w:rsidR="208C36A7" w:rsidP="104354B5" w:rsidRDefault="208C36A7" w14:paraId="61002032" w14:textId="0B39E9BC">
            <w:pPr>
              <w:spacing w:before="0" w:after="0" w:line="240" w:lineRule="auto"/>
              <w:ind w:right="102"/>
              <w:jc w:val="left"/>
              <w:rPr>
                <w:rFonts w:ascii="Aptos" w:hAnsi="Aptos" w:eastAsia="Aptos" w:cs="Aptos"/>
                <w:color w:val="FFFFFF" w:themeColor="background1" w:themeTint="FF" w:themeShade="FF"/>
                <w:sz w:val="20"/>
                <w:szCs w:val="20"/>
              </w:rPr>
            </w:pPr>
            <w:r w:rsidRPr="104354B5" w:rsidR="208C36A7">
              <w:rPr>
                <w:rFonts w:ascii="Aptos" w:hAnsi="Aptos" w:eastAsia="Aptos" w:cs="Aptos"/>
                <w:sz w:val="20"/>
                <w:szCs w:val="20"/>
              </w:rPr>
              <w:t>All Colleagues, Internal and External</w:t>
            </w:r>
          </w:p>
        </w:tc>
      </w:tr>
    </w:tbl>
    <w:p w:rsidR="104354B5" w:rsidP="104354B5" w:rsidRDefault="104354B5" w14:paraId="7DE0E83B" w14:textId="0B411DE1">
      <w:pPr>
        <w:spacing w:before="0" w:after="0" w:line="240" w:lineRule="auto"/>
        <w:rPr>
          <w:rFonts w:ascii="Aptos" w:hAnsi="Aptos" w:eastAsia="Aptos" w:cs="Aptos"/>
          <w:color w:val="000000" w:themeColor="text1" w:themeTint="FF" w:themeShade="FF"/>
          <w:sz w:val="20"/>
          <w:szCs w:val="20"/>
        </w:rPr>
      </w:pPr>
    </w:p>
    <w:p w:rsidRPr="002D5630" w:rsidR="00083701" w:rsidP="104354B5" w:rsidRDefault="00083701" w14:paraId="78A2AD2B" w14:textId="62D772AC">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B</w:t>
      </w:r>
      <w:r w:rsidRPr="104354B5" w:rsidR="00083701">
        <w:rPr>
          <w:rFonts w:ascii="Aptos" w:hAnsi="Aptos" w:eastAsia="Aptos" w:cs="Aptos"/>
          <w:color w:val="000000" w:themeColor="text1" w:themeTint="FF" w:themeShade="FF"/>
          <w:sz w:val="20"/>
          <w:szCs w:val="20"/>
        </w:rPr>
        <w:t xml:space="preserve">arnardo's recognises and accepts its responsibilities as the employer for ensuring, </w:t>
      </w:r>
      <w:r w:rsidRPr="104354B5" w:rsidR="00083701">
        <w:rPr>
          <w:rFonts w:ascii="Aptos" w:hAnsi="Aptos" w:eastAsia="Aptos" w:cs="Aptos"/>
          <w:color w:val="000000" w:themeColor="text1" w:themeTint="FF" w:themeShade="FF"/>
          <w:sz w:val="20"/>
          <w:szCs w:val="20"/>
        </w:rPr>
        <w:t>so far as</w:t>
      </w:r>
      <w:r w:rsidRPr="104354B5" w:rsidR="00083701">
        <w:rPr>
          <w:rFonts w:ascii="Aptos" w:hAnsi="Aptos" w:eastAsia="Aptos" w:cs="Aptos"/>
          <w:color w:val="000000" w:themeColor="text1" w:themeTint="FF" w:themeShade="FF"/>
          <w:sz w:val="20"/>
          <w:szCs w:val="20"/>
        </w:rPr>
        <w:t xml:space="preserve"> is reasonably </w:t>
      </w:r>
      <w:r w:rsidRPr="104354B5" w:rsidR="00083701">
        <w:rPr>
          <w:rFonts w:ascii="Aptos" w:hAnsi="Aptos" w:eastAsia="Aptos" w:cs="Aptos"/>
          <w:color w:val="000000" w:themeColor="text1" w:themeTint="FF" w:themeShade="FF"/>
          <w:sz w:val="20"/>
          <w:szCs w:val="20"/>
        </w:rPr>
        <w:t>practicable</w:t>
      </w:r>
      <w:r w:rsidRPr="104354B5" w:rsidR="00083701">
        <w:rPr>
          <w:rFonts w:ascii="Aptos" w:hAnsi="Aptos" w:eastAsia="Aptos" w:cs="Aptos"/>
          <w:color w:val="000000" w:themeColor="text1" w:themeTint="FF" w:themeShade="FF"/>
          <w:sz w:val="20"/>
          <w:szCs w:val="20"/>
        </w:rPr>
        <w:t xml:space="preserve">, the health, </w:t>
      </w:r>
      <w:r w:rsidRPr="104354B5" w:rsidR="7D033D84">
        <w:rPr>
          <w:rFonts w:ascii="Aptos" w:hAnsi="Aptos" w:eastAsia="Aptos" w:cs="Aptos"/>
          <w:color w:val="000000" w:themeColor="text1" w:themeTint="FF" w:themeShade="FF"/>
          <w:sz w:val="20"/>
          <w:szCs w:val="20"/>
        </w:rPr>
        <w:t>safety,</w:t>
      </w:r>
      <w:r w:rsidRPr="104354B5" w:rsidR="00083701">
        <w:rPr>
          <w:rFonts w:ascii="Aptos" w:hAnsi="Aptos" w:eastAsia="Aptos" w:cs="Aptos"/>
          <w:color w:val="000000" w:themeColor="text1" w:themeTint="FF" w:themeShade="FF"/>
          <w:sz w:val="20"/>
          <w:szCs w:val="20"/>
        </w:rPr>
        <w:t xml:space="preserve"> and welfare of all its</w:t>
      </w:r>
      <w:r w:rsidRPr="104354B5" w:rsidR="0B9FFE38">
        <w:rPr>
          <w:rFonts w:ascii="Aptos" w:hAnsi="Aptos" w:eastAsia="Aptos" w:cs="Aptos"/>
          <w:color w:val="000000" w:themeColor="text1" w:themeTint="FF" w:themeShade="FF"/>
          <w:sz w:val="20"/>
          <w:szCs w:val="20"/>
        </w:rPr>
        <w:t xml:space="preserve"> colleagues</w:t>
      </w:r>
      <w:r w:rsidRPr="104354B5" w:rsidR="00083701">
        <w:rPr>
          <w:rFonts w:ascii="Aptos" w:hAnsi="Aptos" w:eastAsia="Aptos" w:cs="Aptos"/>
          <w:color w:val="000000" w:themeColor="text1" w:themeTint="FF" w:themeShade="FF"/>
          <w:sz w:val="20"/>
          <w:szCs w:val="20"/>
        </w:rPr>
        <w:t xml:space="preserve">. Barnardo's also accepts its responsibility under the Act to protect the health and safety of other persons who may be affected by its work activities. </w:t>
      </w:r>
      <w:r w:rsidRPr="104354B5" w:rsidR="510D720A">
        <w:rPr>
          <w:rFonts w:ascii="Aptos" w:hAnsi="Aptos" w:eastAsia="Aptos" w:cs="Aptos"/>
          <w:color w:val="000000" w:themeColor="text1" w:themeTint="FF" w:themeShade="FF"/>
          <w:sz w:val="20"/>
          <w:szCs w:val="20"/>
        </w:rPr>
        <w:t>Barnardo’s</w:t>
      </w:r>
      <w:r w:rsidRPr="104354B5" w:rsidR="00083701">
        <w:rPr>
          <w:rFonts w:ascii="Aptos" w:hAnsi="Aptos" w:eastAsia="Aptos" w:cs="Aptos"/>
          <w:color w:val="000000" w:themeColor="text1" w:themeTint="FF" w:themeShade="FF"/>
          <w:sz w:val="20"/>
          <w:szCs w:val="20"/>
        </w:rPr>
        <w:t xml:space="preserve"> recognises its obligations to service users and volunteers in that respect.</w:t>
      </w:r>
    </w:p>
    <w:p w:rsidRPr="002D5630" w:rsidR="00083701" w:rsidP="104354B5" w:rsidRDefault="00083701" w14:paraId="13DA3ED7"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36A96718" w14:textId="77777777">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Barnardo's will meet its responsibilities, paying particular attention to the provision and maintenance of:</w:t>
      </w:r>
    </w:p>
    <w:p w:rsidRPr="002D5630" w:rsidR="00083701" w:rsidP="104354B5" w:rsidRDefault="00083701" w14:paraId="1BE4C4E9" w14:textId="3C13CE36">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a safe place of work and safe access to it</w:t>
      </w:r>
    </w:p>
    <w:p w:rsidRPr="002D5630" w:rsidR="00083701" w:rsidP="104354B5" w:rsidRDefault="00083701" w14:paraId="3262D32C" w14:textId="6F545E36">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a healthy working environment</w:t>
      </w:r>
    </w:p>
    <w:p w:rsidRPr="002D5630" w:rsidR="00083701" w:rsidP="104354B5" w:rsidRDefault="00083701" w14:paraId="144BFF20" w14:textId="4D56CE44">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adequate physical welfare facilities</w:t>
      </w:r>
    </w:p>
    <w:p w:rsidRPr="002D5630" w:rsidR="00083701" w:rsidP="104354B5" w:rsidRDefault="00083701" w14:paraId="428734AF" w14:textId="11495F0E">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 xml:space="preserve">plant, </w:t>
      </w:r>
      <w:r w:rsidRPr="104354B5" w:rsidR="149C79E6">
        <w:rPr>
          <w:rFonts w:ascii="Aptos" w:hAnsi="Aptos" w:eastAsia="Aptos" w:cs="Aptos"/>
          <w:sz w:val="20"/>
          <w:szCs w:val="20"/>
        </w:rPr>
        <w:t>equipment,</w:t>
      </w:r>
      <w:r w:rsidRPr="104354B5" w:rsidR="00083701">
        <w:rPr>
          <w:rFonts w:ascii="Aptos" w:hAnsi="Aptos" w:eastAsia="Aptos" w:cs="Aptos"/>
          <w:sz w:val="20"/>
          <w:szCs w:val="20"/>
        </w:rPr>
        <w:t xml:space="preserve"> and systems of work that are safe</w:t>
      </w:r>
    </w:p>
    <w:p w:rsidRPr="002D5630" w:rsidR="00083701" w:rsidP="104354B5" w:rsidRDefault="00083701" w14:textId="77777777" w14:paraId="7434FE53">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safe arrangements for the use, handling, storage and transportation of articles and substances</w:t>
      </w:r>
    </w:p>
    <w:p w:rsidRPr="002D5630" w:rsidR="00083701" w:rsidP="104354B5" w:rsidRDefault="00083701" w14:paraId="0B89A783" w14:textId="5B2D112D">
      <w:pPr>
        <w:pStyle w:val="ListParagraph"/>
        <w:numPr>
          <w:ilvl w:val="0"/>
          <w:numId w:val="32"/>
        </w:numPr>
        <w:rPr>
          <w:rFonts w:ascii="Aptos" w:hAnsi="Aptos" w:eastAsia="Aptos" w:cs="Aptos"/>
          <w:sz w:val="20"/>
          <w:szCs w:val="20"/>
        </w:rPr>
      </w:pPr>
      <w:r w:rsidRPr="104354B5" w:rsidR="55DE2925">
        <w:rPr>
          <w:rFonts w:ascii="Aptos" w:hAnsi="Aptos" w:eastAsia="Aptos" w:cs="Aptos"/>
          <w:sz w:val="20"/>
          <w:szCs w:val="20"/>
        </w:rPr>
        <w:t>a</w:t>
      </w:r>
      <w:r w:rsidRPr="104354B5" w:rsidR="6D7D23A5">
        <w:rPr>
          <w:rFonts w:ascii="Aptos" w:hAnsi="Aptos" w:eastAsia="Aptos" w:cs="Aptos"/>
          <w:sz w:val="20"/>
          <w:szCs w:val="20"/>
        </w:rPr>
        <w:t xml:space="preserve"> </w:t>
      </w:r>
      <w:r w:rsidRPr="104354B5" w:rsidR="4342CA84">
        <w:rPr>
          <w:rFonts w:ascii="Aptos" w:hAnsi="Aptos" w:eastAsia="Aptos" w:cs="Aptos"/>
          <w:sz w:val="20"/>
          <w:szCs w:val="20"/>
        </w:rPr>
        <w:t xml:space="preserve">learning &amp; development offer </w:t>
      </w:r>
      <w:r w:rsidRPr="104354B5" w:rsidR="0B93A8A2">
        <w:rPr>
          <w:rFonts w:ascii="Aptos" w:hAnsi="Aptos" w:eastAsia="Aptos" w:cs="Aptos"/>
          <w:sz w:val="20"/>
          <w:szCs w:val="20"/>
        </w:rPr>
        <w:t xml:space="preserve">to provide </w:t>
      </w:r>
      <w:r w:rsidRPr="104354B5" w:rsidR="00083701">
        <w:rPr>
          <w:rFonts w:ascii="Aptos" w:hAnsi="Aptos" w:eastAsia="Aptos" w:cs="Aptos"/>
          <w:sz w:val="20"/>
          <w:szCs w:val="20"/>
        </w:rPr>
        <w:t xml:space="preserve">sufficient information, instruction, </w:t>
      </w:r>
      <w:r w:rsidRPr="104354B5" w:rsidR="74E72E16">
        <w:rPr>
          <w:rFonts w:ascii="Aptos" w:hAnsi="Aptos" w:eastAsia="Aptos" w:cs="Aptos"/>
          <w:sz w:val="20"/>
          <w:szCs w:val="20"/>
        </w:rPr>
        <w:t>training,</w:t>
      </w:r>
      <w:r w:rsidRPr="104354B5" w:rsidR="00083701">
        <w:rPr>
          <w:rFonts w:ascii="Aptos" w:hAnsi="Aptos" w:eastAsia="Aptos" w:cs="Aptos"/>
          <w:sz w:val="20"/>
          <w:szCs w:val="20"/>
        </w:rPr>
        <w:t xml:space="preserve"> and supervision to enable all </w:t>
      </w:r>
      <w:r w:rsidRPr="104354B5" w:rsidR="1F14D739">
        <w:rPr>
          <w:rFonts w:ascii="Aptos" w:hAnsi="Aptos" w:eastAsia="Aptos" w:cs="Aptos"/>
          <w:sz w:val="20"/>
          <w:szCs w:val="20"/>
        </w:rPr>
        <w:t>colleagues</w:t>
      </w:r>
      <w:r w:rsidRPr="104354B5" w:rsidR="76C8E5FA">
        <w:rPr>
          <w:rFonts w:ascii="Aptos" w:hAnsi="Aptos" w:eastAsia="Aptos" w:cs="Aptos"/>
          <w:sz w:val="20"/>
          <w:szCs w:val="20"/>
        </w:rPr>
        <w:t xml:space="preserve"> </w:t>
      </w:r>
      <w:r w:rsidRPr="104354B5" w:rsidR="76C8E5FA">
        <w:rPr>
          <w:rFonts w:ascii="Aptos" w:hAnsi="Aptos" w:eastAsia="Aptos" w:cs="Aptos"/>
          <w:sz w:val="20"/>
          <w:szCs w:val="20"/>
        </w:rPr>
        <w:t xml:space="preserve">to </w:t>
      </w:r>
      <w:r w:rsidRPr="104354B5" w:rsidR="00083701">
        <w:rPr>
          <w:rFonts w:ascii="Aptos" w:hAnsi="Aptos" w:eastAsia="Aptos" w:cs="Aptos"/>
          <w:sz w:val="20"/>
          <w:szCs w:val="20"/>
        </w:rPr>
        <w:t>avoid hazards</w:t>
      </w:r>
      <w:r w:rsidRPr="104354B5" w:rsidR="5AC5E484">
        <w:rPr>
          <w:rFonts w:ascii="Aptos" w:hAnsi="Aptos" w:eastAsia="Aptos" w:cs="Aptos"/>
          <w:sz w:val="20"/>
          <w:szCs w:val="20"/>
        </w:rPr>
        <w:t>;</w:t>
      </w:r>
      <w:r w:rsidRPr="104354B5" w:rsidR="0DD00924">
        <w:rPr>
          <w:rFonts w:ascii="Aptos" w:hAnsi="Aptos" w:eastAsia="Aptos" w:cs="Aptos"/>
          <w:sz w:val="20"/>
          <w:szCs w:val="20"/>
        </w:rPr>
        <w:t xml:space="preserve"> be </w:t>
      </w:r>
      <w:r w:rsidRPr="104354B5" w:rsidR="15DC1857">
        <w:rPr>
          <w:rFonts w:ascii="Aptos" w:hAnsi="Aptos" w:eastAsia="Aptos" w:cs="Aptos"/>
          <w:noProof w:val="0"/>
          <w:sz w:val="20"/>
          <w:szCs w:val="20"/>
          <w:lang w:val="en-GB"/>
        </w:rPr>
        <w:t xml:space="preserve">informed and able to uphold their responsibilities </w:t>
      </w:r>
      <w:r w:rsidRPr="104354B5" w:rsidR="62676B4C">
        <w:rPr>
          <w:rFonts w:ascii="Aptos" w:hAnsi="Aptos" w:eastAsia="Aptos" w:cs="Aptos"/>
          <w:noProof w:val="0"/>
          <w:sz w:val="20"/>
          <w:szCs w:val="20"/>
          <w:lang w:val="en-GB"/>
        </w:rPr>
        <w:t>regarding</w:t>
      </w:r>
      <w:r w:rsidRPr="104354B5" w:rsidR="15DC1857">
        <w:rPr>
          <w:rFonts w:ascii="Aptos" w:hAnsi="Aptos" w:eastAsia="Aptos" w:cs="Aptos"/>
          <w:noProof w:val="0"/>
          <w:sz w:val="20"/>
          <w:szCs w:val="20"/>
          <w:lang w:val="en-GB"/>
        </w:rPr>
        <w:t xml:space="preserve"> health and safety </w:t>
      </w:r>
      <w:r w:rsidRPr="104354B5" w:rsidR="00083701">
        <w:rPr>
          <w:rFonts w:ascii="Aptos" w:hAnsi="Aptos" w:eastAsia="Aptos" w:cs="Aptos"/>
          <w:sz w:val="20"/>
          <w:szCs w:val="20"/>
        </w:rPr>
        <w:t>at work</w:t>
      </w:r>
    </w:p>
    <w:p w:rsidRPr="002D5630" w:rsidR="00083701" w:rsidP="104354B5" w:rsidRDefault="00083701" w14:paraId="3AD0E865" w14:textId="78DE8839">
      <w:pPr>
        <w:pStyle w:val="ListParagraph"/>
        <w:numPr>
          <w:ilvl w:val="0"/>
          <w:numId w:val="32"/>
        </w:numPr>
        <w:rPr>
          <w:rFonts w:ascii="Aptos" w:hAnsi="Aptos" w:eastAsia="Aptos" w:cs="Aptos"/>
          <w:sz w:val="20"/>
          <w:szCs w:val="20"/>
        </w:rPr>
      </w:pPr>
      <w:r w:rsidRPr="104354B5" w:rsidR="00083701">
        <w:rPr>
          <w:rFonts w:ascii="Aptos" w:hAnsi="Aptos" w:eastAsia="Aptos" w:cs="Aptos"/>
          <w:sz w:val="20"/>
          <w:szCs w:val="20"/>
        </w:rPr>
        <w:t>administ</w:t>
      </w:r>
      <w:r w:rsidRPr="104354B5" w:rsidR="00083701">
        <w:rPr>
          <w:rFonts w:ascii="Aptos" w:hAnsi="Aptos" w:eastAsia="Aptos" w:cs="Aptos"/>
          <w:sz w:val="20"/>
          <w:szCs w:val="20"/>
        </w:rPr>
        <w:t>rative arrangements designed to promote effective safety management</w:t>
      </w:r>
      <w:proofErr w:type="gramStart"/>
      <w:proofErr w:type="gramEnd"/>
    </w:p>
    <w:p w:rsidRPr="002D5630" w:rsidR="00083701" w:rsidP="104354B5" w:rsidRDefault="00083701" w14:paraId="7B703F6F"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1C3E6FE0" w14:textId="00EA879E">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 xml:space="preserve">Barnardo's also accepts that health and safety is a line management responsibility which requires the commitment and active participation of all managers at every level. Overall responsibility for the implementation of health and safety matters within Barnardo's is accordingly vested in the </w:t>
      </w:r>
      <w:bookmarkStart w:name="_Hlk93497848" w:id="6"/>
      <w:r w:rsidRPr="104354B5" w:rsidR="00083701">
        <w:rPr>
          <w:rFonts w:ascii="Aptos" w:hAnsi="Aptos" w:eastAsia="Aptos" w:cs="Aptos"/>
          <w:color w:val="000000" w:themeColor="text1" w:themeTint="FF" w:themeShade="FF"/>
          <w:sz w:val="20"/>
          <w:szCs w:val="20"/>
        </w:rPr>
        <w:t>Chief Executive Officer</w:t>
      </w:r>
      <w:bookmarkEnd w:id="6"/>
      <w:r w:rsidRPr="104354B5" w:rsidR="00083701">
        <w:rPr>
          <w:rFonts w:ascii="Aptos" w:hAnsi="Aptos" w:eastAsia="Aptos" w:cs="Aptos"/>
          <w:color w:val="000000" w:themeColor="text1" w:themeTint="FF" w:themeShade="FF"/>
          <w:sz w:val="20"/>
          <w:szCs w:val="20"/>
        </w:rPr>
        <w:t>.</w:t>
      </w:r>
    </w:p>
    <w:p w:rsidRPr="002D5630" w:rsidR="00083701" w:rsidP="104354B5" w:rsidRDefault="00083701" w14:paraId="2256A33E"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70C14435" w14:textId="20BA4455">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 xml:space="preserve">Under the leadership of the Chief Executive Officer, health and safety responsibilities and duties are delegated down the line management chain through the Corporate Director team, with managers at each level </w:t>
      </w:r>
      <w:r w:rsidRPr="104354B5" w:rsidR="00083701">
        <w:rPr>
          <w:rFonts w:ascii="Aptos" w:hAnsi="Aptos" w:eastAsia="Aptos" w:cs="Aptos"/>
          <w:color w:val="000000" w:themeColor="text1" w:themeTint="FF" w:themeShade="FF"/>
          <w:sz w:val="20"/>
          <w:szCs w:val="20"/>
        </w:rPr>
        <w:t>retaining</w:t>
      </w:r>
      <w:r w:rsidRPr="104354B5" w:rsidR="00083701">
        <w:rPr>
          <w:rFonts w:ascii="Aptos" w:hAnsi="Aptos" w:eastAsia="Aptos" w:cs="Aptos"/>
          <w:color w:val="000000" w:themeColor="text1" w:themeTint="FF" w:themeShade="FF"/>
          <w:sz w:val="20"/>
          <w:szCs w:val="20"/>
        </w:rPr>
        <w:t xml:space="preserve"> responsibility for all health and safety matters within their areas of </w:t>
      </w:r>
      <w:r w:rsidRPr="104354B5" w:rsidR="00083701">
        <w:rPr>
          <w:rFonts w:ascii="Aptos" w:hAnsi="Aptos" w:eastAsia="Aptos" w:cs="Aptos"/>
          <w:color w:val="000000" w:themeColor="text1" w:themeTint="FF" w:themeShade="FF"/>
          <w:sz w:val="20"/>
          <w:szCs w:val="20"/>
        </w:rPr>
        <w:t>jurisdiction</w:t>
      </w:r>
      <w:r w:rsidRPr="104354B5" w:rsidR="00083701">
        <w:rPr>
          <w:rFonts w:ascii="Aptos" w:hAnsi="Aptos" w:eastAsia="Aptos" w:cs="Aptos"/>
          <w:color w:val="000000" w:themeColor="text1" w:themeTint="FF" w:themeShade="FF"/>
          <w:sz w:val="20"/>
          <w:szCs w:val="20"/>
        </w:rPr>
        <w:t xml:space="preserve">. Barnardo's will </w:t>
      </w:r>
      <w:r w:rsidRPr="104354B5" w:rsidR="00083701">
        <w:rPr>
          <w:rFonts w:ascii="Aptos" w:hAnsi="Aptos" w:eastAsia="Aptos" w:cs="Aptos"/>
          <w:color w:val="000000" w:themeColor="text1" w:themeTint="FF" w:themeShade="FF"/>
          <w:sz w:val="20"/>
          <w:szCs w:val="20"/>
        </w:rPr>
        <w:t>provide</w:t>
      </w:r>
      <w:r w:rsidRPr="104354B5" w:rsidR="00083701">
        <w:rPr>
          <w:rFonts w:ascii="Aptos" w:hAnsi="Aptos" w:eastAsia="Aptos" w:cs="Aptos"/>
          <w:color w:val="000000" w:themeColor="text1" w:themeTint="FF" w:themeShade="FF"/>
          <w:sz w:val="20"/>
          <w:szCs w:val="20"/>
        </w:rPr>
        <w:t xml:space="preserve"> competent technical and specialist </w:t>
      </w:r>
      <w:r w:rsidRPr="104354B5" w:rsidR="326E4026">
        <w:rPr>
          <w:rFonts w:ascii="Aptos" w:hAnsi="Aptos" w:eastAsia="Aptos" w:cs="Aptos"/>
          <w:color w:val="000000" w:themeColor="text1" w:themeTint="FF" w:themeShade="FF"/>
          <w:sz w:val="20"/>
          <w:szCs w:val="20"/>
        </w:rPr>
        <w:t>advice or</w:t>
      </w:r>
      <w:r w:rsidRPr="104354B5" w:rsidR="00083701">
        <w:rPr>
          <w:rFonts w:ascii="Aptos" w:hAnsi="Aptos" w:eastAsia="Aptos" w:cs="Aptos"/>
          <w:color w:val="000000" w:themeColor="text1" w:themeTint="FF" w:themeShade="FF"/>
          <w:sz w:val="20"/>
          <w:szCs w:val="20"/>
        </w:rPr>
        <w:t xml:space="preserve"> arrange for such advice to be obtained from external sources, to </w:t>
      </w:r>
      <w:r w:rsidRPr="104354B5" w:rsidR="00083701">
        <w:rPr>
          <w:rFonts w:ascii="Aptos" w:hAnsi="Aptos" w:eastAsia="Aptos" w:cs="Aptos"/>
          <w:color w:val="000000" w:themeColor="text1" w:themeTint="FF" w:themeShade="FF"/>
          <w:sz w:val="20"/>
          <w:szCs w:val="20"/>
        </w:rPr>
        <w:t>assist</w:t>
      </w:r>
      <w:r w:rsidRPr="104354B5" w:rsidR="00083701">
        <w:rPr>
          <w:rFonts w:ascii="Aptos" w:hAnsi="Aptos" w:eastAsia="Aptos" w:cs="Aptos"/>
          <w:color w:val="000000" w:themeColor="text1" w:themeTint="FF" w:themeShade="FF"/>
          <w:sz w:val="20"/>
          <w:szCs w:val="20"/>
        </w:rPr>
        <w:t xml:space="preserve"> managers in the discharge of their duties. </w:t>
      </w:r>
      <w:r w:rsidRPr="104354B5" w:rsidR="00083701">
        <w:rPr>
          <w:rFonts w:ascii="Aptos" w:hAnsi="Aptos" w:eastAsia="Aptos" w:cs="Aptos"/>
          <w:color w:val="000000" w:themeColor="text1" w:themeTint="FF" w:themeShade="FF"/>
          <w:sz w:val="20"/>
          <w:szCs w:val="20"/>
        </w:rPr>
        <w:t>In particular those</w:t>
      </w:r>
      <w:r w:rsidRPr="104354B5" w:rsidR="00083701">
        <w:rPr>
          <w:rFonts w:ascii="Aptos" w:hAnsi="Aptos" w:eastAsia="Aptos" w:cs="Aptos"/>
          <w:color w:val="000000" w:themeColor="text1" w:themeTint="FF" w:themeShade="FF"/>
          <w:sz w:val="20"/>
          <w:szCs w:val="20"/>
        </w:rPr>
        <w:t xml:space="preserve"> duties are to ensure, </w:t>
      </w:r>
      <w:r w:rsidRPr="104354B5" w:rsidR="00083701">
        <w:rPr>
          <w:rFonts w:ascii="Aptos" w:hAnsi="Aptos" w:eastAsia="Aptos" w:cs="Aptos"/>
          <w:color w:val="000000" w:themeColor="text1" w:themeTint="FF" w:themeShade="FF"/>
          <w:sz w:val="20"/>
          <w:szCs w:val="20"/>
        </w:rPr>
        <w:t>so far as</w:t>
      </w:r>
      <w:r w:rsidRPr="104354B5" w:rsidR="00083701">
        <w:rPr>
          <w:rFonts w:ascii="Aptos" w:hAnsi="Aptos" w:eastAsia="Aptos" w:cs="Aptos"/>
          <w:color w:val="000000" w:themeColor="text1" w:themeTint="FF" w:themeShade="FF"/>
          <w:sz w:val="20"/>
          <w:szCs w:val="20"/>
        </w:rPr>
        <w:t xml:space="preserve"> is reasonably </w:t>
      </w:r>
      <w:r w:rsidRPr="104354B5" w:rsidR="00083701">
        <w:rPr>
          <w:rFonts w:ascii="Aptos" w:hAnsi="Aptos" w:eastAsia="Aptos" w:cs="Aptos"/>
          <w:color w:val="000000" w:themeColor="text1" w:themeTint="FF" w:themeShade="FF"/>
          <w:sz w:val="20"/>
          <w:szCs w:val="20"/>
        </w:rPr>
        <w:t>practicable</w:t>
      </w:r>
      <w:r w:rsidRPr="104354B5" w:rsidR="00083701">
        <w:rPr>
          <w:rFonts w:ascii="Aptos" w:hAnsi="Aptos" w:eastAsia="Aptos" w:cs="Aptos"/>
          <w:color w:val="000000" w:themeColor="text1" w:themeTint="FF" w:themeShade="FF"/>
          <w:sz w:val="20"/>
          <w:szCs w:val="20"/>
        </w:rPr>
        <w:t>, safe conditions of work and the health, safety and physical welfare of all persons involved in or affected by Barnardo's work activities.</w:t>
      </w:r>
    </w:p>
    <w:p w:rsidRPr="002D5630" w:rsidR="00083701" w:rsidP="104354B5" w:rsidRDefault="00083701" w14:paraId="4162986B"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7E7E21C0" w14:textId="323ABB26">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No safety policy is likely to be successful unless it is applied at all levels and actively involves all</w:t>
      </w:r>
      <w:r w:rsidRPr="104354B5" w:rsidR="113734DA">
        <w:rPr>
          <w:rFonts w:ascii="Aptos" w:hAnsi="Aptos" w:eastAsia="Aptos" w:cs="Aptos"/>
          <w:color w:val="000000" w:themeColor="text1" w:themeTint="FF" w:themeShade="FF"/>
          <w:sz w:val="20"/>
          <w:szCs w:val="20"/>
        </w:rPr>
        <w:t xml:space="preserve"> colleagues</w:t>
      </w:r>
      <w:r w:rsidRPr="104354B5" w:rsidR="00083701">
        <w:rPr>
          <w:rFonts w:ascii="Aptos" w:hAnsi="Aptos" w:eastAsia="Aptos" w:cs="Aptos"/>
          <w:color w:val="000000" w:themeColor="text1" w:themeTint="FF" w:themeShade="FF"/>
          <w:sz w:val="20"/>
          <w:szCs w:val="20"/>
        </w:rPr>
        <w:t xml:space="preserve">. To that end each Barnardo's establishment </w:t>
      </w:r>
      <w:r w:rsidRPr="104354B5" w:rsidR="00083701">
        <w:rPr>
          <w:rFonts w:ascii="Aptos" w:hAnsi="Aptos" w:eastAsia="Aptos" w:cs="Aptos"/>
          <w:color w:val="000000" w:themeColor="text1" w:themeTint="FF" w:themeShade="FF"/>
          <w:sz w:val="20"/>
          <w:szCs w:val="20"/>
        </w:rPr>
        <w:t>is required to</w:t>
      </w:r>
      <w:r w:rsidRPr="104354B5" w:rsidR="00083701">
        <w:rPr>
          <w:rFonts w:ascii="Aptos" w:hAnsi="Aptos" w:eastAsia="Aptos" w:cs="Aptos"/>
          <w:color w:val="000000" w:themeColor="text1" w:themeTint="FF" w:themeShade="FF"/>
          <w:sz w:val="20"/>
          <w:szCs w:val="20"/>
        </w:rPr>
        <w:t xml:space="preserve"> provide and </w:t>
      </w:r>
      <w:r w:rsidRPr="104354B5" w:rsidR="00083701">
        <w:rPr>
          <w:rFonts w:ascii="Aptos" w:hAnsi="Aptos" w:eastAsia="Aptos" w:cs="Aptos"/>
          <w:color w:val="000000" w:themeColor="text1" w:themeTint="FF" w:themeShade="FF"/>
          <w:sz w:val="20"/>
          <w:szCs w:val="20"/>
        </w:rPr>
        <w:t>maintain</w:t>
      </w:r>
      <w:r w:rsidRPr="104354B5" w:rsidR="00083701">
        <w:rPr>
          <w:rFonts w:ascii="Aptos" w:hAnsi="Aptos" w:eastAsia="Aptos" w:cs="Aptos"/>
          <w:color w:val="000000" w:themeColor="text1" w:themeTint="FF" w:themeShade="FF"/>
          <w:sz w:val="20"/>
          <w:szCs w:val="20"/>
        </w:rPr>
        <w:t xml:space="preserve"> a comprehensive and up-to-date set of local safety rules, and</w:t>
      </w:r>
      <w:r w:rsidRPr="104354B5" w:rsidR="20DC823E">
        <w:rPr>
          <w:rFonts w:ascii="Aptos" w:hAnsi="Aptos" w:eastAsia="Aptos" w:cs="Aptos"/>
          <w:color w:val="000000" w:themeColor="text1" w:themeTint="FF" w:themeShade="FF"/>
          <w:sz w:val="20"/>
          <w:szCs w:val="20"/>
        </w:rPr>
        <w:t xml:space="preserve"> colleagues </w:t>
      </w:r>
      <w:r w:rsidRPr="104354B5" w:rsidR="00083701">
        <w:rPr>
          <w:rFonts w:ascii="Aptos" w:hAnsi="Aptos" w:eastAsia="Aptos" w:cs="Aptos"/>
          <w:color w:val="000000" w:themeColor="text1" w:themeTint="FF" w:themeShade="FF"/>
          <w:sz w:val="20"/>
          <w:szCs w:val="20"/>
        </w:rPr>
        <w:t>are required to</w:t>
      </w:r>
      <w:r w:rsidRPr="104354B5" w:rsidR="00083701">
        <w:rPr>
          <w:rFonts w:ascii="Aptos" w:hAnsi="Aptos" w:eastAsia="Aptos" w:cs="Aptos"/>
          <w:color w:val="000000" w:themeColor="text1" w:themeTint="FF" w:themeShade="FF"/>
          <w:sz w:val="20"/>
          <w:szCs w:val="20"/>
        </w:rPr>
        <w:t xml:space="preserve"> make themselves familiar with these. In this connection</w:t>
      </w:r>
      <w:r w:rsidRPr="104354B5" w:rsidR="00083701">
        <w:rPr>
          <w:rFonts w:ascii="Aptos" w:hAnsi="Aptos" w:eastAsia="Aptos" w:cs="Aptos"/>
          <w:color w:val="000000" w:themeColor="text1" w:themeTint="FF" w:themeShade="FF"/>
          <w:sz w:val="20"/>
          <w:szCs w:val="20"/>
        </w:rPr>
        <w:t xml:space="preserve"> </w:t>
      </w:r>
      <w:r w:rsidRPr="104354B5" w:rsidR="15AB8216">
        <w:rPr>
          <w:rFonts w:ascii="Aptos" w:hAnsi="Aptos" w:eastAsia="Aptos" w:cs="Aptos"/>
          <w:color w:val="000000" w:themeColor="text1" w:themeTint="FF" w:themeShade="FF"/>
          <w:sz w:val="20"/>
          <w:szCs w:val="20"/>
        </w:rPr>
        <w:t>colleagues</w:t>
      </w:r>
      <w:r w:rsidRPr="104354B5" w:rsidR="00083701">
        <w:rPr>
          <w:rFonts w:ascii="Aptos" w:hAnsi="Aptos" w:eastAsia="Aptos" w:cs="Aptos"/>
          <w:color w:val="000000" w:themeColor="text1" w:themeTint="FF" w:themeShade="FF"/>
          <w:sz w:val="20"/>
          <w:szCs w:val="20"/>
        </w:rPr>
        <w:t xml:space="preserve"> </w:t>
      </w:r>
      <w:r w:rsidRPr="104354B5" w:rsidR="00083701">
        <w:rPr>
          <w:rFonts w:ascii="Aptos" w:hAnsi="Aptos" w:eastAsia="Aptos" w:cs="Aptos"/>
          <w:color w:val="000000" w:themeColor="text1" w:themeTint="FF" w:themeShade="FF"/>
          <w:sz w:val="20"/>
          <w:szCs w:val="20"/>
        </w:rPr>
        <w:t xml:space="preserve">are reminded of their own duties under Section 7 of the Health &amp; Safety at Work etc Act to take care of their own safety and to ensure that they do not put other people at risk by reason of their own acts or omissions. All </w:t>
      </w:r>
      <w:r w:rsidRPr="104354B5" w:rsidR="619B8DDD">
        <w:rPr>
          <w:rFonts w:ascii="Aptos" w:hAnsi="Aptos" w:eastAsia="Aptos" w:cs="Aptos"/>
          <w:color w:val="000000" w:themeColor="text1" w:themeTint="FF" w:themeShade="FF"/>
          <w:sz w:val="20"/>
          <w:szCs w:val="20"/>
        </w:rPr>
        <w:t>colleagues</w:t>
      </w:r>
      <w:r w:rsidRPr="104354B5" w:rsidR="04C5B170">
        <w:rPr>
          <w:rFonts w:ascii="Aptos" w:hAnsi="Aptos" w:eastAsia="Aptos" w:cs="Aptos"/>
          <w:color w:val="000000" w:themeColor="text1" w:themeTint="FF" w:themeShade="FF"/>
          <w:sz w:val="20"/>
          <w:szCs w:val="20"/>
        </w:rPr>
        <w:t xml:space="preserve"> </w:t>
      </w:r>
      <w:r w:rsidRPr="104354B5" w:rsidR="00083701">
        <w:rPr>
          <w:rFonts w:ascii="Aptos" w:hAnsi="Aptos" w:eastAsia="Aptos" w:cs="Aptos"/>
          <w:color w:val="000000" w:themeColor="text1" w:themeTint="FF" w:themeShade="FF"/>
          <w:sz w:val="20"/>
          <w:szCs w:val="20"/>
        </w:rPr>
        <w:t>are</w:t>
      </w:r>
      <w:r w:rsidRPr="104354B5" w:rsidR="00083701">
        <w:rPr>
          <w:rFonts w:ascii="Aptos" w:hAnsi="Aptos" w:eastAsia="Aptos" w:cs="Aptos"/>
          <w:color w:val="000000" w:themeColor="text1" w:themeTint="FF" w:themeShade="FF"/>
          <w:sz w:val="20"/>
          <w:szCs w:val="20"/>
        </w:rPr>
        <w:t xml:space="preserve"> legally required to co-operate with Barnardo's to enable </w:t>
      </w:r>
      <w:r w:rsidRPr="104354B5" w:rsidR="00083701">
        <w:rPr>
          <w:rFonts w:ascii="Aptos" w:hAnsi="Aptos" w:eastAsia="Aptos" w:cs="Aptos"/>
          <w:color w:val="000000" w:themeColor="text1" w:themeTint="FF" w:themeShade="FF"/>
          <w:sz w:val="20"/>
          <w:szCs w:val="20"/>
        </w:rPr>
        <w:t>the</w:t>
      </w:r>
      <w:r w:rsidRPr="104354B5" w:rsidR="00083701">
        <w:rPr>
          <w:rFonts w:ascii="Aptos" w:hAnsi="Aptos" w:eastAsia="Aptos" w:cs="Aptos"/>
          <w:color w:val="000000" w:themeColor="text1" w:themeTint="FF" w:themeShade="FF"/>
          <w:sz w:val="20"/>
          <w:szCs w:val="20"/>
        </w:rPr>
        <w:t xml:space="preserve"> </w:t>
      </w:r>
      <w:r w:rsidRPr="104354B5" w:rsidR="061316B0">
        <w:rPr>
          <w:rFonts w:ascii="Aptos" w:hAnsi="Aptos" w:eastAsia="Aptos" w:cs="Aptos"/>
          <w:color w:val="000000" w:themeColor="text1" w:themeTint="FF" w:themeShade="FF"/>
          <w:sz w:val="20"/>
          <w:szCs w:val="20"/>
        </w:rPr>
        <w:t>Charity</w:t>
      </w:r>
      <w:r w:rsidRPr="104354B5" w:rsidR="00083701">
        <w:rPr>
          <w:rFonts w:ascii="Aptos" w:hAnsi="Aptos" w:eastAsia="Aptos" w:cs="Aptos"/>
          <w:color w:val="000000" w:themeColor="text1" w:themeTint="FF" w:themeShade="FF"/>
          <w:sz w:val="20"/>
          <w:szCs w:val="20"/>
        </w:rPr>
        <w:t xml:space="preserve"> </w:t>
      </w:r>
      <w:r w:rsidRPr="104354B5" w:rsidR="00083701">
        <w:rPr>
          <w:rFonts w:ascii="Aptos" w:hAnsi="Aptos" w:eastAsia="Aptos" w:cs="Aptos"/>
          <w:color w:val="000000" w:themeColor="text1" w:themeTint="FF" w:themeShade="FF"/>
          <w:sz w:val="20"/>
          <w:szCs w:val="20"/>
        </w:rPr>
        <w:t>to carry out its health and safety responsibilities effectively.</w:t>
      </w:r>
    </w:p>
    <w:p w:rsidRPr="002D5630" w:rsidR="00083701" w:rsidP="104354B5" w:rsidRDefault="00083701" w14:paraId="47E1BDA2"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3A34C57F" w14:textId="4DEA9809">
      <w:pPr>
        <w:autoSpaceDE w:val="0"/>
        <w:autoSpaceDN w:val="0"/>
        <w:adjustRightInd w:val="0"/>
        <w:spacing w:before="0" w:after="0" w:line="240" w:lineRule="auto"/>
        <w:rPr>
          <w:rFonts w:ascii="Aptos" w:hAnsi="Aptos" w:eastAsia="Aptos" w:cs="Aptos"/>
          <w:color w:val="FFFFFF"/>
          <w:sz w:val="20"/>
          <w:szCs w:val="20"/>
        </w:rPr>
      </w:pPr>
      <w:r w:rsidRPr="104354B5" w:rsidR="00083701">
        <w:rPr>
          <w:rFonts w:ascii="Aptos" w:hAnsi="Aptos" w:eastAsia="Aptos" w:cs="Aptos"/>
          <w:color w:val="000000" w:themeColor="text1" w:themeTint="FF" w:themeShade="FF"/>
          <w:sz w:val="20"/>
          <w:szCs w:val="20"/>
        </w:rPr>
        <w:t xml:space="preserve">Barnardo's recognises the rights of all </w:t>
      </w:r>
      <w:r w:rsidRPr="104354B5" w:rsidR="338C1348">
        <w:rPr>
          <w:rFonts w:ascii="Aptos" w:hAnsi="Aptos" w:eastAsia="Aptos" w:cs="Aptos"/>
          <w:color w:val="000000" w:themeColor="text1" w:themeTint="FF" w:themeShade="FF"/>
          <w:sz w:val="20"/>
          <w:szCs w:val="20"/>
        </w:rPr>
        <w:t xml:space="preserve">colleagues </w:t>
      </w:r>
      <w:r w:rsidRPr="104354B5" w:rsidR="00083701">
        <w:rPr>
          <w:rFonts w:ascii="Aptos" w:hAnsi="Aptos" w:eastAsia="Aptos" w:cs="Aptos"/>
          <w:color w:val="000000" w:themeColor="text1" w:themeTint="FF" w:themeShade="FF"/>
          <w:sz w:val="20"/>
          <w:szCs w:val="20"/>
        </w:rPr>
        <w:t xml:space="preserve">to receive </w:t>
      </w:r>
      <w:r w:rsidRPr="104354B5" w:rsidR="00083701">
        <w:rPr>
          <w:rFonts w:ascii="Aptos" w:hAnsi="Aptos" w:eastAsia="Aptos" w:cs="Aptos"/>
          <w:color w:val="000000" w:themeColor="text1" w:themeTint="FF" w:themeShade="FF"/>
          <w:sz w:val="20"/>
          <w:szCs w:val="20"/>
        </w:rPr>
        <w:t>appropriate health</w:t>
      </w:r>
      <w:r w:rsidRPr="104354B5" w:rsidR="00083701">
        <w:rPr>
          <w:rFonts w:ascii="Aptos" w:hAnsi="Aptos" w:eastAsia="Aptos" w:cs="Aptos"/>
          <w:color w:val="000000" w:themeColor="text1" w:themeTint="FF" w:themeShade="FF"/>
          <w:sz w:val="20"/>
          <w:szCs w:val="20"/>
        </w:rPr>
        <w:t xml:space="preserve"> and safety information and to be able to make representations to a higher level on matters of either personal or general concern. Internal reporting procedures have been </w:t>
      </w:r>
      <w:r w:rsidRPr="104354B5" w:rsidR="00083701">
        <w:rPr>
          <w:rFonts w:ascii="Aptos" w:hAnsi="Aptos" w:eastAsia="Aptos" w:cs="Aptos"/>
          <w:color w:val="000000" w:themeColor="text1" w:themeTint="FF" w:themeShade="FF"/>
          <w:sz w:val="20"/>
          <w:szCs w:val="20"/>
        </w:rPr>
        <w:t>established</w:t>
      </w:r>
      <w:r w:rsidRPr="104354B5" w:rsidR="00083701">
        <w:rPr>
          <w:rFonts w:ascii="Aptos" w:hAnsi="Aptos" w:eastAsia="Aptos" w:cs="Aptos"/>
          <w:color w:val="000000" w:themeColor="text1" w:themeTint="FF" w:themeShade="FF"/>
          <w:sz w:val="20"/>
          <w:szCs w:val="20"/>
        </w:rPr>
        <w:t xml:space="preserve">, and Barnardo's encourages the regular exchange of information between management and </w:t>
      </w:r>
      <w:r w:rsidRPr="104354B5" w:rsidR="163CF6C9">
        <w:rPr>
          <w:rFonts w:ascii="Aptos" w:hAnsi="Aptos" w:eastAsia="Aptos" w:cs="Aptos"/>
          <w:color w:val="000000" w:themeColor="text1" w:themeTint="FF" w:themeShade="FF"/>
          <w:sz w:val="20"/>
          <w:szCs w:val="20"/>
        </w:rPr>
        <w:t xml:space="preserve">colleagues </w:t>
      </w:r>
      <w:r w:rsidRPr="104354B5" w:rsidR="00083701">
        <w:rPr>
          <w:rFonts w:ascii="Aptos" w:hAnsi="Aptos" w:eastAsia="Aptos" w:cs="Aptos"/>
          <w:color w:val="000000" w:themeColor="text1" w:themeTint="FF" w:themeShade="FF"/>
          <w:sz w:val="20"/>
          <w:szCs w:val="20"/>
        </w:rPr>
        <w:t xml:space="preserve">at local level. </w:t>
      </w:r>
      <w:r w:rsidRPr="104354B5" w:rsidR="00083701">
        <w:rPr>
          <w:rFonts w:ascii="Aptos" w:hAnsi="Aptos" w:eastAsia="Aptos" w:cs="Aptos"/>
          <w:color w:val="000000" w:themeColor="text1" w:themeTint="FF" w:themeShade="FF"/>
          <w:sz w:val="20"/>
          <w:szCs w:val="20"/>
        </w:rPr>
        <w:t>In particular all</w:t>
      </w:r>
      <w:r w:rsidRPr="104354B5" w:rsidR="00083701">
        <w:rPr>
          <w:rFonts w:ascii="Aptos" w:hAnsi="Aptos" w:eastAsia="Aptos" w:cs="Aptos"/>
          <w:color w:val="000000" w:themeColor="text1" w:themeTint="FF" w:themeShade="FF"/>
          <w:sz w:val="20"/>
          <w:szCs w:val="20"/>
        </w:rPr>
        <w:t xml:space="preserve"> </w:t>
      </w:r>
      <w:r w:rsidRPr="104354B5" w:rsidR="57390017">
        <w:rPr>
          <w:rFonts w:ascii="Aptos" w:hAnsi="Aptos" w:eastAsia="Aptos" w:cs="Aptos"/>
          <w:color w:val="000000" w:themeColor="text1" w:themeTint="FF" w:themeShade="FF"/>
          <w:sz w:val="20"/>
          <w:szCs w:val="20"/>
        </w:rPr>
        <w:t xml:space="preserve">colleagues </w:t>
      </w:r>
      <w:r w:rsidRPr="104354B5" w:rsidR="00083701">
        <w:rPr>
          <w:rFonts w:ascii="Aptos" w:hAnsi="Aptos" w:eastAsia="Aptos" w:cs="Aptos"/>
          <w:color w:val="000000" w:themeColor="text1" w:themeTint="FF" w:themeShade="FF"/>
          <w:sz w:val="20"/>
          <w:szCs w:val="20"/>
        </w:rPr>
        <w:t>are obliged to bring to the attention of the responsible manager or supervisor any hazards, both potential and actual, and any defects in health and safety policy, procedure or working practice.</w:t>
      </w:r>
    </w:p>
    <w:p w:rsidRPr="002D5630" w:rsidR="00083701" w:rsidP="104354B5" w:rsidRDefault="00083701" w14:paraId="15896438" w14:textId="77777777">
      <w:pPr>
        <w:autoSpaceDE w:val="0"/>
        <w:autoSpaceDN w:val="0"/>
        <w:adjustRightInd w:val="0"/>
        <w:spacing w:before="0" w:after="0" w:line="240" w:lineRule="auto"/>
        <w:rPr>
          <w:rFonts w:ascii="Aptos" w:hAnsi="Aptos" w:eastAsia="Aptos" w:cs="Aptos"/>
          <w:color w:val="FFFFFF"/>
          <w:sz w:val="20"/>
          <w:szCs w:val="20"/>
        </w:rPr>
      </w:pPr>
    </w:p>
    <w:p w:rsidRPr="002D5630" w:rsidR="00083701" w:rsidP="104354B5" w:rsidRDefault="00083701" w14:paraId="52D66BF8" w14:textId="11BD77BA">
      <w:pPr>
        <w:autoSpaceDE w:val="0"/>
        <w:autoSpaceDN w:val="0"/>
        <w:adjustRightInd w:val="0"/>
        <w:spacing w:before="0" w:after="0" w:line="240" w:lineRule="auto"/>
        <w:rPr>
          <w:rFonts w:ascii="Aptos" w:hAnsi="Aptos" w:eastAsia="Aptos" w:cs="Aptos"/>
          <w:color w:val="000000"/>
          <w:sz w:val="20"/>
          <w:szCs w:val="20"/>
        </w:rPr>
      </w:pPr>
      <w:r w:rsidRPr="104354B5" w:rsidR="00083701">
        <w:rPr>
          <w:rFonts w:ascii="Aptos" w:hAnsi="Aptos" w:eastAsia="Aptos" w:cs="Aptos"/>
          <w:color w:val="000000" w:themeColor="text1" w:themeTint="FF" w:themeShade="FF"/>
          <w:sz w:val="20"/>
          <w:szCs w:val="20"/>
        </w:rPr>
        <w:t xml:space="preserve">Working instructions </w:t>
      </w:r>
      <w:r w:rsidRPr="104354B5" w:rsidR="00083701">
        <w:rPr>
          <w:rFonts w:ascii="Aptos" w:hAnsi="Aptos" w:eastAsia="Aptos" w:cs="Aptos"/>
          <w:color w:val="000000" w:themeColor="text1" w:themeTint="FF" w:themeShade="FF"/>
          <w:sz w:val="20"/>
          <w:szCs w:val="20"/>
        </w:rPr>
        <w:t xml:space="preserve">and guidance supporting this policy statement are set out in </w:t>
      </w:r>
      <w:r w:rsidRPr="104354B5" w:rsidR="06958B3B">
        <w:rPr>
          <w:rFonts w:ascii="Aptos" w:hAnsi="Aptos" w:eastAsia="Aptos" w:cs="Aptos"/>
          <w:color w:val="000000" w:themeColor="text1" w:themeTint="FF" w:themeShade="FF"/>
          <w:sz w:val="20"/>
          <w:szCs w:val="20"/>
        </w:rPr>
        <w:t>organisational procedures</w:t>
      </w:r>
      <w:r w:rsidRPr="104354B5" w:rsidR="00083701">
        <w:rPr>
          <w:rFonts w:ascii="Aptos" w:hAnsi="Aptos" w:eastAsia="Aptos" w:cs="Aptos"/>
          <w:color w:val="000000" w:themeColor="text1" w:themeTint="FF" w:themeShade="FF"/>
          <w:sz w:val="20"/>
          <w:szCs w:val="20"/>
        </w:rPr>
        <w:t>. Those documents and this statement will be reviewed and amended as necessary from time to time.</w:t>
      </w:r>
    </w:p>
    <w:p w:rsidR="104354B5" w:rsidP="104354B5" w:rsidRDefault="104354B5" w14:paraId="523143E5" w14:textId="7FF2B261">
      <w:pPr>
        <w:pStyle w:val="Normal"/>
        <w:spacing w:before="0" w:after="0" w:line="240" w:lineRule="auto"/>
        <w:rPr>
          <w:rFonts w:ascii="Aptos" w:hAnsi="Aptos" w:eastAsia="Aptos" w:cs="Aptos"/>
          <w:color w:val="000000" w:themeColor="text1" w:themeTint="FF" w:themeShade="FF"/>
          <w:sz w:val="20"/>
          <w:szCs w:val="20"/>
        </w:rPr>
      </w:pPr>
    </w:p>
    <w:tbl>
      <w:tblPr>
        <w:tblStyle w:val="TableGrid"/>
        <w:tblW w:w="0" w:type="auto"/>
        <w:tblLayout w:type="fixed"/>
        <w:tblLook w:val="06A0" w:firstRow="1" w:lastRow="0" w:firstColumn="1" w:lastColumn="0" w:noHBand="1" w:noVBand="1"/>
      </w:tblPr>
      <w:tblGrid>
        <w:gridCol w:w="5228"/>
        <w:gridCol w:w="5228"/>
      </w:tblGrid>
      <w:tr w:rsidR="104354B5" w:rsidTr="104354B5" w14:paraId="06DF2D1D">
        <w:trPr>
          <w:trHeight w:val="300"/>
        </w:trPr>
        <w:tc>
          <w:tcPr>
            <w:tcW w:w="5228" w:type="dxa"/>
            <w:tcBorders>
              <w:top w:val="none" w:color="000000" w:themeColor="text1" w:sz="4"/>
              <w:left w:val="none" w:color="000000" w:themeColor="text1" w:sz="4"/>
              <w:bottom w:val="none" w:color="000000" w:themeColor="text1" w:sz="4"/>
              <w:right w:val="none" w:color="000000" w:themeColor="text1" w:sz="4"/>
            </w:tcBorders>
            <w:tcMar/>
            <w:vAlign w:val="bottom"/>
          </w:tcPr>
          <w:p w:rsidR="598E89EC" w:rsidP="104354B5" w:rsidRDefault="598E89EC" w14:paraId="1DB95AD6" w14:textId="00A886B4">
            <w:pPr>
              <w:pStyle w:val="Normal"/>
              <w:jc w:val="right"/>
              <w:rPr>
                <w:rFonts w:ascii="Aptos" w:hAnsi="Aptos" w:eastAsia="Aptos" w:cs="Aptos"/>
                <w:color w:val="000000" w:themeColor="text1" w:themeTint="FF" w:themeShade="FF"/>
                <w:sz w:val="20"/>
                <w:szCs w:val="20"/>
              </w:rPr>
            </w:pPr>
            <w:r w:rsidR="598E89EC">
              <w:drawing>
                <wp:inline wp14:editId="462526BC" wp14:anchorId="254F1CAA">
                  <wp:extent cx="1792605" cy="835025"/>
                  <wp:effectExtent l="0" t="0" r="0" b="0"/>
                  <wp:docPr id="1562344523" name="Picture 6" title=""/>
                  <wp:cNvGraphicFramePr>
                    <a:graphicFrameLocks noChangeAspect="1"/>
                  </wp:cNvGraphicFramePr>
                  <a:graphic>
                    <a:graphicData uri="http://schemas.openxmlformats.org/drawingml/2006/picture">
                      <pic:pic>
                        <pic:nvPicPr>
                          <pic:cNvPr id="0" name="Picture 6"/>
                          <pic:cNvPicPr/>
                        </pic:nvPicPr>
                        <pic:blipFill>
                          <a:blip r:embed="Ra30e225c5c254c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792605" cy="835025"/>
                          </a:xfrm>
                          <a:prstGeom xmlns:a="http://schemas.openxmlformats.org/drawingml/2006/main" prst="rect">
                            <a:avLst xmlns:a="http://schemas.openxmlformats.org/drawingml/2006/main"/>
                          </a:prstGeom>
                          <a:noFill xmlns:a="http://schemas.openxmlformats.org/drawingml/2006/main"/>
                        </pic:spPr>
                      </pic:pic>
                    </a:graphicData>
                  </a:graphic>
                </wp:inline>
              </w:drawing>
            </w:r>
          </w:p>
        </w:tc>
        <w:tc>
          <w:tcPr>
            <w:tcW w:w="5228" w:type="dxa"/>
            <w:tcBorders>
              <w:top w:val="none" w:color="000000" w:themeColor="text1" w:sz="4"/>
              <w:left w:val="none" w:color="000000" w:themeColor="text1" w:sz="4"/>
              <w:bottom w:val="none" w:color="000000" w:themeColor="text1" w:sz="4"/>
              <w:right w:val="none" w:color="000000" w:themeColor="text1" w:sz="4"/>
            </w:tcBorders>
            <w:tcMar/>
          </w:tcPr>
          <w:p w:rsidR="598E89EC" w:rsidP="104354B5" w:rsidRDefault="598E89EC" w14:paraId="68A3265F" w14:textId="5E83C0AC">
            <w:pPr>
              <w:pStyle w:val="Normal"/>
              <w:rPr>
                <w:rFonts w:ascii="Aptos" w:hAnsi="Aptos" w:eastAsia="Aptos" w:cs="Aptos"/>
                <w:b w:val="1"/>
                <w:bCs w:val="1"/>
                <w:color w:val="000000" w:themeColor="text1" w:themeTint="FF" w:themeShade="FF"/>
                <w:sz w:val="20"/>
                <w:szCs w:val="20"/>
              </w:rPr>
            </w:pPr>
            <w:r w:rsidRPr="104354B5" w:rsidR="598E89EC">
              <w:rPr>
                <w:rFonts w:ascii="Aptos" w:hAnsi="Aptos" w:eastAsia="Aptos" w:cs="Aptos"/>
                <w:b w:val="1"/>
                <w:bCs w:val="1"/>
                <w:color w:val="000000" w:themeColor="text1" w:themeTint="FF" w:themeShade="FF"/>
                <w:sz w:val="20"/>
                <w:szCs w:val="20"/>
              </w:rPr>
              <w:t>Lynn Perry MBE</w:t>
            </w:r>
          </w:p>
          <w:p w:rsidR="598E89EC" w:rsidP="104354B5" w:rsidRDefault="598E89EC" w14:paraId="71A207C2" w14:textId="2CEC2735">
            <w:pPr>
              <w:pStyle w:val="Normal"/>
              <w:rPr>
                <w:rFonts w:ascii="Aptos" w:hAnsi="Aptos" w:eastAsia="Aptos" w:cs="Aptos"/>
                <w:color w:val="000000" w:themeColor="text1" w:themeTint="FF" w:themeShade="FF"/>
                <w:sz w:val="20"/>
                <w:szCs w:val="20"/>
              </w:rPr>
            </w:pPr>
            <w:r w:rsidRPr="104354B5" w:rsidR="598E89EC">
              <w:rPr>
                <w:rFonts w:ascii="Aptos" w:hAnsi="Aptos" w:eastAsia="Aptos" w:cs="Aptos"/>
                <w:color w:val="000000" w:themeColor="text1" w:themeTint="FF" w:themeShade="FF"/>
                <w:sz w:val="20"/>
                <w:szCs w:val="20"/>
              </w:rPr>
              <w:t>Chief Executive Officer</w:t>
            </w:r>
          </w:p>
        </w:tc>
      </w:tr>
    </w:tbl>
    <w:p w:rsidRPr="00083701" w:rsidR="00F372C9" w:rsidP="104354B5" w:rsidRDefault="00F372C9" w14:paraId="019E3C74" w14:textId="77777777">
      <w:pPr>
        <w:spacing w:before="0" w:after="0" w:line="240" w:lineRule="auto"/>
        <w:jc w:val="left"/>
        <w:rPr>
          <w:rFonts w:ascii="Aptos" w:hAnsi="Aptos" w:eastAsia="Aptos" w:cs="Aptos"/>
          <w:sz w:val="4"/>
          <w:szCs w:val="4"/>
          <w:lang w:val="en-US" w:eastAsia="en-US"/>
        </w:rPr>
      </w:pPr>
    </w:p>
    <w:sectPr w:rsidRPr="00083701" w:rsidR="00F372C9" w:rsidSect="00625680">
      <w:headerReference w:type="default" r:id="rId13"/>
      <w:footerReference w:type="default" r:id="rId14"/>
      <w:type w:val="continuous"/>
      <w:pgSz w:w="11906" w:h="16838" w:orient="portrait" w:code="9"/>
      <w:pgMar w:top="720" w:right="720" w:bottom="720" w:left="720" w:header="357" w:footer="0" w:gutter="0"/>
      <w:cols w:space="708"/>
      <w:formProt w:val="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680" w:rsidRDefault="00625680" w14:paraId="3BA87E24" w14:textId="77777777">
      <w:r>
        <w:separator/>
      </w:r>
    </w:p>
  </w:endnote>
  <w:endnote w:type="continuationSeparator" w:id="0">
    <w:p w:rsidR="00625680" w:rsidRDefault="00625680" w14:paraId="618C9D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70124B" w:rsidR="00ED717E" w:rsidP="00C44783" w:rsidRDefault="00206AFC" w14:paraId="6408686B" w14:textId="0D85A9D6">
    <w:pPr>
      <w:pStyle w:val="Footer"/>
      <w:jc w:val="right"/>
    </w:pPr>
    <w:r>
      <w:rPr>
        <w:noProof/>
      </w:rPr>
      <mc:AlternateContent>
        <mc:Choice Requires="wps">
          <w:drawing>
            <wp:anchor distT="0" distB="0" distL="114300" distR="114300" simplePos="0" relativeHeight="251657728" behindDoc="1" locked="1" layoutInCell="1" allowOverlap="0" wp14:anchorId="49668E39" wp14:editId="4BB8D9BB">
              <wp:simplePos x="0" y="0"/>
              <wp:positionH relativeFrom="page">
                <wp:posOffset>831215</wp:posOffset>
              </wp:positionH>
              <wp:positionV relativeFrom="page">
                <wp:posOffset>10171430</wp:posOffset>
              </wp:positionV>
              <wp:extent cx="6162675" cy="308610"/>
              <wp:effectExtent l="254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8610"/>
                      </a:xfrm>
                      <a:prstGeom prst="rect">
                        <a:avLst/>
                      </a:prstGeom>
                      <a:solidFill>
                        <a:srgbClr val="99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0124B" w:rsidR="00ED717E" w:rsidP="00217FB9" w:rsidRDefault="00772AE1" w14:paraId="7E6B0DA6" w14:textId="77777777">
                          <w:pPr>
                            <w:pStyle w:val="Footer"/>
                            <w:rPr>
                              <w:sz w:val="28"/>
                              <w:szCs w:val="28"/>
                            </w:rPr>
                          </w:pPr>
                          <w:r>
                            <w:tab/>
                          </w:r>
                          <w:r>
                            <w:tab/>
                          </w:r>
                          <w:r w:rsidRPr="00C05224">
                            <w:rPr>
                              <w:sz w:val="28"/>
                              <w:szCs w:val="28"/>
                            </w:rPr>
                            <w:t xml:space="preserve">PAGE </w:t>
                          </w:r>
                          <w:r w:rsidRPr="00C05224">
                            <w:rPr>
                              <w:sz w:val="28"/>
                              <w:szCs w:val="28"/>
                            </w:rPr>
                            <w:fldChar w:fldCharType="begin"/>
                          </w:r>
                          <w:r w:rsidRPr="00C05224">
                            <w:rPr>
                              <w:sz w:val="28"/>
                              <w:szCs w:val="28"/>
                            </w:rPr>
                            <w:instrText xml:space="preserve"> PAGE </w:instrText>
                          </w:r>
                          <w:r w:rsidRPr="00C05224">
                            <w:rPr>
                              <w:sz w:val="28"/>
                              <w:szCs w:val="28"/>
                            </w:rPr>
                            <w:fldChar w:fldCharType="separate"/>
                          </w:r>
                          <w:r w:rsidR="00ED717E">
                            <w:rPr>
                              <w:noProof/>
                              <w:sz w:val="28"/>
                              <w:szCs w:val="28"/>
                            </w:rPr>
                            <w:t>2</w:t>
                          </w:r>
                          <w:r w:rsidRPr="00C05224">
                            <w:rPr>
                              <w:sz w:val="28"/>
                              <w:szCs w:val="28"/>
                            </w:rPr>
                            <w:fldChar w:fldCharType="end"/>
                          </w:r>
                          <w:r w:rsidRPr="00C05224">
                            <w:rPr>
                              <w:sz w:val="28"/>
                              <w:szCs w:val="28"/>
                            </w:rPr>
                            <w:t xml:space="preserve"> of </w:t>
                          </w:r>
                          <w:r w:rsidRPr="00C05224">
                            <w:rPr>
                              <w:sz w:val="28"/>
                              <w:szCs w:val="28"/>
                            </w:rPr>
                            <w:fldChar w:fldCharType="begin"/>
                          </w:r>
                          <w:r w:rsidRPr="00C05224">
                            <w:rPr>
                              <w:sz w:val="28"/>
                              <w:szCs w:val="28"/>
                            </w:rPr>
                            <w:instrText xml:space="preserve"> NUMPAGES </w:instrText>
                          </w:r>
                          <w:r w:rsidRPr="00C05224">
                            <w:rPr>
                              <w:sz w:val="28"/>
                              <w:szCs w:val="28"/>
                            </w:rPr>
                            <w:fldChar w:fldCharType="separate"/>
                          </w:r>
                          <w:r w:rsidR="00066EBF">
                            <w:rPr>
                              <w:noProof/>
                              <w:sz w:val="28"/>
                              <w:szCs w:val="28"/>
                            </w:rPr>
                            <w:t>1</w:t>
                          </w:r>
                          <w:r w:rsidRPr="00C05224">
                            <w:rPr>
                              <w:sz w:val="28"/>
                              <w:szCs w:val="28"/>
                            </w:rPr>
                            <w:fldChar w:fldCharType="end"/>
                          </w:r>
                        </w:p>
                        <w:p w:rsidRPr="00C05224" w:rsidR="00772AE1" w:rsidP="00217FB9" w:rsidRDefault="00772AE1" w14:paraId="6BF79D8D" w14:textId="77777777">
                          <w:pPr>
                            <w:pStyle w:val="Footer"/>
                            <w:rPr>
                              <w:sz w:val="28"/>
                              <w:szCs w:val="28"/>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668E39">
              <v:stroke joinstyle="miter"/>
              <v:path gradientshapeok="t" o:connecttype="rect"/>
            </v:shapetype>
            <v:shape id="Text Box 23" style="position:absolute;left:0;text-align:left;margin-left:65.45pt;margin-top:800.9pt;width:485.25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overlap="f" fillcolor="#9c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">
              <v:textbox inset="1.5mm,1.5mm,1.5mm,1.5mm">
                <w:txbxContent>
                  <w:p w:rsidRPr="0070124B" w:rsidR="00ED717E" w:rsidP="00217FB9" w:rsidRDefault="00772AE1" w14:paraId="7E6B0DA6" w14:textId="77777777">
                    <w:pPr>
                      <w:pStyle w:val="Footer"/>
                      <w:rPr>
                        <w:sz w:val="28"/>
                        <w:szCs w:val="28"/>
                      </w:rPr>
                    </w:pPr>
                    <w:r>
                      <w:tab/>
                    </w:r>
                    <w:r>
                      <w:tab/>
                    </w:r>
                    <w:r w:rsidRPr="00C05224">
                      <w:rPr>
                        <w:sz w:val="28"/>
                        <w:szCs w:val="28"/>
                      </w:rPr>
                      <w:t xml:space="preserve">PAGE </w:t>
                    </w:r>
                    <w:r w:rsidRPr="00C05224">
                      <w:rPr>
                        <w:sz w:val="28"/>
                        <w:szCs w:val="28"/>
                      </w:rPr>
                      <w:fldChar w:fldCharType="begin"/>
                    </w:r>
                    <w:r w:rsidRPr="00C05224">
                      <w:rPr>
                        <w:sz w:val="28"/>
                        <w:szCs w:val="28"/>
                      </w:rPr>
                      <w:instrText xml:space="preserve"> PAGE </w:instrText>
                    </w:r>
                    <w:r w:rsidRPr="00C05224">
                      <w:rPr>
                        <w:sz w:val="28"/>
                        <w:szCs w:val="28"/>
                      </w:rPr>
                      <w:fldChar w:fldCharType="separate"/>
                    </w:r>
                    <w:r w:rsidR="00ED717E">
                      <w:rPr>
                        <w:noProof/>
                        <w:sz w:val="28"/>
                        <w:szCs w:val="28"/>
                      </w:rPr>
                      <w:t>2</w:t>
                    </w:r>
                    <w:r w:rsidRPr="00C05224">
                      <w:rPr>
                        <w:sz w:val="28"/>
                        <w:szCs w:val="28"/>
                      </w:rPr>
                      <w:fldChar w:fldCharType="end"/>
                    </w:r>
                    <w:r w:rsidRPr="00C05224">
                      <w:rPr>
                        <w:sz w:val="28"/>
                        <w:szCs w:val="28"/>
                      </w:rPr>
                      <w:t xml:space="preserve"> of </w:t>
                    </w:r>
                    <w:r w:rsidRPr="00C05224">
                      <w:rPr>
                        <w:sz w:val="28"/>
                        <w:szCs w:val="28"/>
                      </w:rPr>
                      <w:fldChar w:fldCharType="begin"/>
                    </w:r>
                    <w:r w:rsidRPr="00C05224">
                      <w:rPr>
                        <w:sz w:val="28"/>
                        <w:szCs w:val="28"/>
                      </w:rPr>
                      <w:instrText xml:space="preserve"> NUMPAGES </w:instrText>
                    </w:r>
                    <w:r w:rsidRPr="00C05224">
                      <w:rPr>
                        <w:sz w:val="28"/>
                        <w:szCs w:val="28"/>
                      </w:rPr>
                      <w:fldChar w:fldCharType="separate"/>
                    </w:r>
                    <w:r w:rsidR="00066EBF">
                      <w:rPr>
                        <w:noProof/>
                        <w:sz w:val="28"/>
                        <w:szCs w:val="28"/>
                      </w:rPr>
                      <w:t>1</w:t>
                    </w:r>
                    <w:r w:rsidRPr="00C05224">
                      <w:rPr>
                        <w:sz w:val="28"/>
                        <w:szCs w:val="28"/>
                      </w:rPr>
                      <w:fldChar w:fldCharType="end"/>
                    </w:r>
                  </w:p>
                  <w:p w:rsidRPr="00C05224" w:rsidR="00772AE1" w:rsidP="00217FB9" w:rsidRDefault="00772AE1" w14:paraId="6BF79D8D" w14:textId="77777777">
                    <w:pPr>
                      <w:pStyle w:val="Footer"/>
                      <w:rPr>
                        <w:sz w:val="28"/>
                        <w:szCs w:val="28"/>
                      </w:rPr>
                    </w:pPr>
                  </w:p>
                </w:txbxContent>
              </v:textbox>
              <w10:wrap anchorx="page" anchory="page"/>
              <w10:anchorlock/>
            </v:shape>
          </w:pict>
        </mc:Fallback>
      </mc:AlternateContent>
    </w:r>
  </w:p>
  <w:p w:rsidR="00772AE1" w:rsidP="00C44783" w:rsidRDefault="00772AE1" w14:paraId="319ACD1A"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680" w:rsidRDefault="00625680" w14:paraId="29D2ED24" w14:textId="77777777">
      <w:r>
        <w:separator/>
      </w:r>
    </w:p>
  </w:footnote>
  <w:footnote w:type="continuationSeparator" w:id="0">
    <w:p w:rsidR="00625680" w:rsidRDefault="00625680" w14:paraId="045555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124B" w:rsidR="00ED717E" w:rsidP="00217FB9" w:rsidRDefault="00ED717E" w14:paraId="120A1CB5" w14:textId="77777777">
    <w:pPr>
      <w:pStyle w:val="Header"/>
      <w:tabs>
        <w:tab w:val="clear" w:pos="4153"/>
        <w:tab w:val="clear" w:pos="8306"/>
        <w:tab w:val="clear" w:pos="9498"/>
        <w:tab w:val="center" w:pos="4819"/>
      </w:tabs>
    </w:pPr>
  </w:p>
  <w:p w:rsidR="00772AE1" w:rsidP="00217FB9" w:rsidRDefault="00772AE1" w14:paraId="28FBF903" w14:textId="77777777">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16b386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0922bc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0a6f1f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ebf36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41ad49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259b94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1381d4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5ce7f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453897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5b95f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aeaac9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E2F9E"/>
    <w:multiLevelType w:val="hybridMultilevel"/>
    <w:tmpl w:val="E0B07132"/>
    <w:lvl w:ilvl="0" w:tplc="08090017">
      <w:start w:val="1"/>
      <w:numFmt w:val="lowerLetter"/>
      <w:lvlText w:val="%1)"/>
      <w:lvlJc w:val="left"/>
      <w:pPr>
        <w:tabs>
          <w:tab w:val="num" w:pos="533"/>
        </w:tabs>
        <w:ind w:left="533" w:hanging="360"/>
      </w:pPr>
    </w:lvl>
    <w:lvl w:ilvl="1" w:tplc="08090019" w:tentative="1">
      <w:start w:val="1"/>
      <w:numFmt w:val="lowerLetter"/>
      <w:lvlText w:val="%2."/>
      <w:lvlJc w:val="left"/>
      <w:pPr>
        <w:tabs>
          <w:tab w:val="num" w:pos="1253"/>
        </w:tabs>
        <w:ind w:left="1253" w:hanging="360"/>
      </w:pPr>
    </w:lvl>
    <w:lvl w:ilvl="2" w:tplc="0809001B" w:tentative="1">
      <w:start w:val="1"/>
      <w:numFmt w:val="lowerRoman"/>
      <w:lvlText w:val="%3."/>
      <w:lvlJc w:val="right"/>
      <w:pPr>
        <w:tabs>
          <w:tab w:val="num" w:pos="1973"/>
        </w:tabs>
        <w:ind w:left="1973" w:hanging="180"/>
      </w:pPr>
    </w:lvl>
    <w:lvl w:ilvl="3" w:tplc="0809000F" w:tentative="1">
      <w:start w:val="1"/>
      <w:numFmt w:val="decimal"/>
      <w:lvlText w:val="%4."/>
      <w:lvlJc w:val="left"/>
      <w:pPr>
        <w:tabs>
          <w:tab w:val="num" w:pos="2693"/>
        </w:tabs>
        <w:ind w:left="2693" w:hanging="360"/>
      </w:pPr>
    </w:lvl>
    <w:lvl w:ilvl="4" w:tplc="08090019" w:tentative="1">
      <w:start w:val="1"/>
      <w:numFmt w:val="lowerLetter"/>
      <w:lvlText w:val="%5."/>
      <w:lvlJc w:val="left"/>
      <w:pPr>
        <w:tabs>
          <w:tab w:val="num" w:pos="3413"/>
        </w:tabs>
        <w:ind w:left="3413" w:hanging="360"/>
      </w:pPr>
    </w:lvl>
    <w:lvl w:ilvl="5" w:tplc="0809001B" w:tentative="1">
      <w:start w:val="1"/>
      <w:numFmt w:val="lowerRoman"/>
      <w:lvlText w:val="%6."/>
      <w:lvlJc w:val="right"/>
      <w:pPr>
        <w:tabs>
          <w:tab w:val="num" w:pos="4133"/>
        </w:tabs>
        <w:ind w:left="4133" w:hanging="180"/>
      </w:pPr>
    </w:lvl>
    <w:lvl w:ilvl="6" w:tplc="0809000F" w:tentative="1">
      <w:start w:val="1"/>
      <w:numFmt w:val="decimal"/>
      <w:lvlText w:val="%7."/>
      <w:lvlJc w:val="left"/>
      <w:pPr>
        <w:tabs>
          <w:tab w:val="num" w:pos="4853"/>
        </w:tabs>
        <w:ind w:left="4853" w:hanging="360"/>
      </w:pPr>
    </w:lvl>
    <w:lvl w:ilvl="7" w:tplc="08090019" w:tentative="1">
      <w:start w:val="1"/>
      <w:numFmt w:val="lowerLetter"/>
      <w:lvlText w:val="%8."/>
      <w:lvlJc w:val="left"/>
      <w:pPr>
        <w:tabs>
          <w:tab w:val="num" w:pos="5573"/>
        </w:tabs>
        <w:ind w:left="5573" w:hanging="360"/>
      </w:pPr>
    </w:lvl>
    <w:lvl w:ilvl="8" w:tplc="0809001B" w:tentative="1">
      <w:start w:val="1"/>
      <w:numFmt w:val="lowerRoman"/>
      <w:lvlText w:val="%9."/>
      <w:lvlJc w:val="right"/>
      <w:pPr>
        <w:tabs>
          <w:tab w:val="num" w:pos="6293"/>
        </w:tabs>
        <w:ind w:left="6293" w:hanging="180"/>
      </w:pPr>
    </w:lvl>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hint="default" w:ascii="Wingdings" w:hAnsi="Wingdings"/>
        <w:color w:val="99CC33"/>
        <w:sz w:val="20"/>
        <w:szCs w:val="2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5B82D3D"/>
    <w:multiLevelType w:val="hybridMultilevel"/>
    <w:tmpl w:val="99A01F38"/>
    <w:lvl w:ilvl="0" w:tplc="12CEC8EE">
      <w:start w:val="1"/>
      <w:numFmt w:val="lowerLetter"/>
      <w:lvlText w:val="%1."/>
      <w:lvlJc w:val="left"/>
      <w:pPr>
        <w:ind w:left="720" w:hanging="360"/>
      </w:pPr>
      <w:rPr>
        <w:rFonts w:hint="default"/>
        <w:color w:val="000000"/>
        <w:spacing w:val="0"/>
        <w:w w:val="10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E7F0B"/>
    <w:multiLevelType w:val="multilevel"/>
    <w:tmpl w:val="80A4A4DC"/>
    <w:lvl w:ilvl="0">
      <w:start w:val="1"/>
      <w:numFmt w:val="bullet"/>
      <w:lvlText w:val=""/>
      <w:lvlJc w:val="left"/>
      <w:pPr>
        <w:tabs>
          <w:tab w:val="num" w:pos="284"/>
        </w:tabs>
        <w:ind w:left="284" w:hanging="284"/>
      </w:pPr>
      <w:rPr>
        <w:rFonts w:hint="default" w:ascii="Wingdings" w:hAnsi="Wingdings"/>
        <w:color w:val="99CC33"/>
        <w:sz w:val="20"/>
        <w:szCs w:val="2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0CC31D5"/>
    <w:multiLevelType w:val="hybridMultilevel"/>
    <w:tmpl w:val="D440279E"/>
    <w:lvl w:ilvl="0" w:tplc="B92A3876">
      <w:start w:val="1"/>
      <w:numFmt w:val="bullet"/>
      <w:lvlText w:val=""/>
      <w:lvlJc w:val="left"/>
      <w:pPr>
        <w:tabs>
          <w:tab w:val="num" w:pos="284"/>
        </w:tabs>
        <w:ind w:left="284" w:hanging="284"/>
      </w:pPr>
      <w:rPr>
        <w:rFonts w:hint="default" w:ascii="Wingdings" w:hAnsi="Wingdings"/>
        <w:color w:val="990099"/>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hint="default" w:ascii="Wingdings" w:hAnsi="Wingdings"/>
        <w:color w:val="0066CC"/>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A772B11"/>
    <w:multiLevelType w:val="hybridMultilevel"/>
    <w:tmpl w:val="E2BCCD5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E17C0B"/>
    <w:multiLevelType w:val="multilevel"/>
    <w:tmpl w:val="CEB69852"/>
    <w:lvl w:ilvl="0">
      <w:start w:val="1"/>
      <w:numFmt w:val="lowerLetter"/>
      <w:lvlText w:val="%1)"/>
      <w:lvlJc w:val="left"/>
      <w:pPr>
        <w:tabs>
          <w:tab w:val="num" w:pos="533"/>
        </w:tabs>
        <w:ind w:left="533" w:hanging="360"/>
      </w:p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9" w15:restartNumberingAfterBreak="0">
    <w:nsid w:val="4AAD11F1"/>
    <w:multiLevelType w:val="hybridMultilevel"/>
    <w:tmpl w:val="6E16E350"/>
    <w:lvl w:ilvl="0" w:tplc="08090017">
      <w:start w:val="1"/>
      <w:numFmt w:val="lowerLetter"/>
      <w:lvlText w:val="%1)"/>
      <w:lvlJc w:val="left"/>
      <w:pPr>
        <w:tabs>
          <w:tab w:val="num" w:pos="-131"/>
        </w:tabs>
        <w:ind w:left="-131" w:hanging="360"/>
      </w:pPr>
    </w:lvl>
    <w:lvl w:ilvl="1" w:tplc="08090019" w:tentative="1">
      <w:start w:val="1"/>
      <w:numFmt w:val="lowerLetter"/>
      <w:lvlText w:val="%2."/>
      <w:lvlJc w:val="left"/>
      <w:pPr>
        <w:tabs>
          <w:tab w:val="num" w:pos="589"/>
        </w:tabs>
        <w:ind w:left="589" w:hanging="360"/>
      </w:pPr>
    </w:lvl>
    <w:lvl w:ilvl="2" w:tplc="0809001B" w:tentative="1">
      <w:start w:val="1"/>
      <w:numFmt w:val="lowerRoman"/>
      <w:lvlText w:val="%3."/>
      <w:lvlJc w:val="right"/>
      <w:pPr>
        <w:tabs>
          <w:tab w:val="num" w:pos="1309"/>
        </w:tabs>
        <w:ind w:left="1309" w:hanging="180"/>
      </w:pPr>
    </w:lvl>
    <w:lvl w:ilvl="3" w:tplc="0809000F" w:tentative="1">
      <w:start w:val="1"/>
      <w:numFmt w:val="decimal"/>
      <w:lvlText w:val="%4."/>
      <w:lvlJc w:val="left"/>
      <w:pPr>
        <w:tabs>
          <w:tab w:val="num" w:pos="2029"/>
        </w:tabs>
        <w:ind w:left="2029" w:hanging="360"/>
      </w:pPr>
    </w:lvl>
    <w:lvl w:ilvl="4" w:tplc="08090019" w:tentative="1">
      <w:start w:val="1"/>
      <w:numFmt w:val="lowerLetter"/>
      <w:lvlText w:val="%5."/>
      <w:lvlJc w:val="left"/>
      <w:pPr>
        <w:tabs>
          <w:tab w:val="num" w:pos="2749"/>
        </w:tabs>
        <w:ind w:left="2749" w:hanging="360"/>
      </w:pPr>
    </w:lvl>
    <w:lvl w:ilvl="5" w:tplc="0809001B" w:tentative="1">
      <w:start w:val="1"/>
      <w:numFmt w:val="lowerRoman"/>
      <w:lvlText w:val="%6."/>
      <w:lvlJc w:val="right"/>
      <w:pPr>
        <w:tabs>
          <w:tab w:val="num" w:pos="3469"/>
        </w:tabs>
        <w:ind w:left="3469" w:hanging="180"/>
      </w:pPr>
    </w:lvl>
    <w:lvl w:ilvl="6" w:tplc="0809000F" w:tentative="1">
      <w:start w:val="1"/>
      <w:numFmt w:val="decimal"/>
      <w:lvlText w:val="%7."/>
      <w:lvlJc w:val="left"/>
      <w:pPr>
        <w:tabs>
          <w:tab w:val="num" w:pos="4189"/>
        </w:tabs>
        <w:ind w:left="4189" w:hanging="360"/>
      </w:pPr>
    </w:lvl>
    <w:lvl w:ilvl="7" w:tplc="08090019" w:tentative="1">
      <w:start w:val="1"/>
      <w:numFmt w:val="lowerLetter"/>
      <w:lvlText w:val="%8."/>
      <w:lvlJc w:val="left"/>
      <w:pPr>
        <w:tabs>
          <w:tab w:val="num" w:pos="4909"/>
        </w:tabs>
        <w:ind w:left="4909" w:hanging="360"/>
      </w:pPr>
    </w:lvl>
    <w:lvl w:ilvl="8" w:tplc="0809001B" w:tentative="1">
      <w:start w:val="1"/>
      <w:numFmt w:val="lowerRoman"/>
      <w:lvlText w:val="%9."/>
      <w:lvlJc w:val="right"/>
      <w:pPr>
        <w:tabs>
          <w:tab w:val="num" w:pos="5629"/>
        </w:tabs>
        <w:ind w:left="5629" w:hanging="180"/>
      </w:pPr>
    </w:lvl>
  </w:abstractNum>
  <w:abstractNum w:abstractNumId="10"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hint="default" w:ascii="Wingdings" w:hAnsi="Wingdings"/>
        <w:color w:val="99CC33"/>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95942FB"/>
    <w:multiLevelType w:val="hybridMultilevel"/>
    <w:tmpl w:val="921A9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CEA1AAC"/>
    <w:multiLevelType w:val="hybridMultilevel"/>
    <w:tmpl w:val="09B49C40"/>
    <w:lvl w:ilvl="0" w:tplc="7E286C6C">
      <w:start w:val="1"/>
      <w:numFmt w:val="bullet"/>
      <w:lvlText w:val=""/>
      <w:lvlJc w:val="left"/>
      <w:pPr>
        <w:tabs>
          <w:tab w:val="num" w:pos="284"/>
        </w:tabs>
        <w:ind w:left="284" w:hanging="284"/>
      </w:pPr>
      <w:rPr>
        <w:rFonts w:hint="default" w:ascii="Wingdings" w:hAnsi="Wingdings"/>
        <w:color w:val="FFCC00"/>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DD60CE9"/>
    <w:multiLevelType w:val="singleLevel"/>
    <w:tmpl w:val="27D8EBF4"/>
    <w:lvl w:ilvl="0">
      <w:start w:val="1"/>
      <w:numFmt w:val="bullet"/>
      <w:lvlText w:val=""/>
      <w:lvlJc w:val="left"/>
      <w:pPr>
        <w:tabs>
          <w:tab w:val="num" w:pos="284"/>
        </w:tabs>
        <w:ind w:left="284" w:hanging="284"/>
      </w:pPr>
      <w:rPr>
        <w:rFonts w:hint="default" w:ascii="Wingdings" w:hAnsi="Wingdings"/>
        <w:color w:val="FF0033"/>
        <w:sz w:val="20"/>
        <w:szCs w:val="20"/>
      </w:rPr>
    </w:lvl>
  </w:abstractNum>
  <w:abstractNum w:abstractNumId="14" w15:restartNumberingAfterBreak="0">
    <w:nsid w:val="7C313991"/>
    <w:multiLevelType w:val="hybridMultilevel"/>
    <w:tmpl w:val="15ACCA5E"/>
    <w:lvl w:ilvl="0" w:tplc="5B380F60">
      <w:start w:val="1"/>
      <w:numFmt w:val="bullet"/>
      <w:lvlText w:val=""/>
      <w:lvlJc w:val="left"/>
      <w:pPr>
        <w:tabs>
          <w:tab w:val="num" w:pos="284"/>
        </w:tabs>
        <w:ind w:left="284" w:hanging="284"/>
      </w:pPr>
      <w:rPr>
        <w:rFonts w:hint="default" w:ascii="Wingdings" w:hAnsi="Wingdings"/>
        <w:color w:val="FF66CC"/>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D686506"/>
    <w:multiLevelType w:val="hybridMultilevel"/>
    <w:tmpl w:val="29341A3C"/>
    <w:lvl w:ilvl="0" w:tplc="0809000F">
      <w:start w:val="1"/>
      <w:numFmt w:val="decimal"/>
      <w:lvlText w:val="%1."/>
      <w:lvlJc w:val="left"/>
      <w:pPr>
        <w:tabs>
          <w:tab w:val="num" w:pos="533"/>
        </w:tabs>
        <w:ind w:left="533" w:hanging="360"/>
      </w:pPr>
    </w:lvl>
    <w:lvl w:ilvl="1" w:tplc="08090019" w:tentative="1">
      <w:start w:val="1"/>
      <w:numFmt w:val="lowerLetter"/>
      <w:lvlText w:val="%2."/>
      <w:lvlJc w:val="left"/>
      <w:pPr>
        <w:tabs>
          <w:tab w:val="num" w:pos="1253"/>
        </w:tabs>
        <w:ind w:left="1253" w:hanging="360"/>
      </w:pPr>
    </w:lvl>
    <w:lvl w:ilvl="2" w:tplc="0809001B" w:tentative="1">
      <w:start w:val="1"/>
      <w:numFmt w:val="lowerRoman"/>
      <w:lvlText w:val="%3."/>
      <w:lvlJc w:val="right"/>
      <w:pPr>
        <w:tabs>
          <w:tab w:val="num" w:pos="1973"/>
        </w:tabs>
        <w:ind w:left="1973" w:hanging="180"/>
      </w:pPr>
    </w:lvl>
    <w:lvl w:ilvl="3" w:tplc="0809000F" w:tentative="1">
      <w:start w:val="1"/>
      <w:numFmt w:val="decimal"/>
      <w:lvlText w:val="%4."/>
      <w:lvlJc w:val="left"/>
      <w:pPr>
        <w:tabs>
          <w:tab w:val="num" w:pos="2693"/>
        </w:tabs>
        <w:ind w:left="2693" w:hanging="360"/>
      </w:pPr>
    </w:lvl>
    <w:lvl w:ilvl="4" w:tplc="08090019" w:tentative="1">
      <w:start w:val="1"/>
      <w:numFmt w:val="lowerLetter"/>
      <w:lvlText w:val="%5."/>
      <w:lvlJc w:val="left"/>
      <w:pPr>
        <w:tabs>
          <w:tab w:val="num" w:pos="3413"/>
        </w:tabs>
        <w:ind w:left="3413" w:hanging="360"/>
      </w:pPr>
    </w:lvl>
    <w:lvl w:ilvl="5" w:tplc="0809001B" w:tentative="1">
      <w:start w:val="1"/>
      <w:numFmt w:val="lowerRoman"/>
      <w:lvlText w:val="%6."/>
      <w:lvlJc w:val="right"/>
      <w:pPr>
        <w:tabs>
          <w:tab w:val="num" w:pos="4133"/>
        </w:tabs>
        <w:ind w:left="4133" w:hanging="180"/>
      </w:pPr>
    </w:lvl>
    <w:lvl w:ilvl="6" w:tplc="0809000F" w:tentative="1">
      <w:start w:val="1"/>
      <w:numFmt w:val="decimal"/>
      <w:lvlText w:val="%7."/>
      <w:lvlJc w:val="left"/>
      <w:pPr>
        <w:tabs>
          <w:tab w:val="num" w:pos="4853"/>
        </w:tabs>
        <w:ind w:left="4853" w:hanging="360"/>
      </w:pPr>
    </w:lvl>
    <w:lvl w:ilvl="7" w:tplc="08090019" w:tentative="1">
      <w:start w:val="1"/>
      <w:numFmt w:val="lowerLetter"/>
      <w:lvlText w:val="%8."/>
      <w:lvlJc w:val="left"/>
      <w:pPr>
        <w:tabs>
          <w:tab w:val="num" w:pos="5573"/>
        </w:tabs>
        <w:ind w:left="5573" w:hanging="360"/>
      </w:pPr>
    </w:lvl>
    <w:lvl w:ilvl="8" w:tplc="0809001B" w:tentative="1">
      <w:start w:val="1"/>
      <w:numFmt w:val="lowerRoman"/>
      <w:lvlText w:val="%9."/>
      <w:lvlJc w:val="right"/>
      <w:pPr>
        <w:tabs>
          <w:tab w:val="num" w:pos="6293"/>
        </w:tabs>
        <w:ind w:left="6293" w:hanging="180"/>
      </w:pPr>
    </w:lvl>
  </w:abstractNum>
  <w:num w:numId="32">
    <w:abstractNumId w:val="26"/>
  </w:num>
  <w:num w:numId="31">
    <w:abstractNumId w:val="25"/>
  </w:num>
  <w:num w:numId="30">
    <w:abstractNumId w:val="24"/>
  </w:num>
  <w:num w:numId="29">
    <w:abstractNumId w:val="23"/>
  </w:num>
  <w:num w:numId="28">
    <w:abstractNumId w:val="22"/>
  </w:num>
  <w:num w:numId="27">
    <w:abstractNumId w:val="21"/>
  </w:num>
  <w:num w:numId="26">
    <w:abstractNumId w:val="20"/>
  </w:num>
  <w:num w:numId="25">
    <w:abstractNumId w:val="19"/>
  </w:num>
  <w:num w:numId="24">
    <w:abstractNumId w:val="18"/>
  </w:num>
  <w:num w:numId="23">
    <w:abstractNumId w:val="17"/>
  </w:num>
  <w:num w:numId="22">
    <w:abstractNumId w:val="16"/>
  </w:num>
  <w:num w:numId="1" w16cid:durableId="707028401">
    <w:abstractNumId w:val="13"/>
  </w:num>
  <w:num w:numId="2" w16cid:durableId="1576359542">
    <w:abstractNumId w:val="13"/>
  </w:num>
  <w:num w:numId="3" w16cid:durableId="514658147">
    <w:abstractNumId w:val="13"/>
  </w:num>
  <w:num w:numId="4" w16cid:durableId="1093354677">
    <w:abstractNumId w:val="13"/>
  </w:num>
  <w:num w:numId="5" w16cid:durableId="2070762228">
    <w:abstractNumId w:val="13"/>
  </w:num>
  <w:num w:numId="6" w16cid:durableId="2031762660">
    <w:abstractNumId w:val="2"/>
  </w:num>
  <w:num w:numId="7" w16cid:durableId="1453937397">
    <w:abstractNumId w:val="13"/>
  </w:num>
  <w:num w:numId="8" w16cid:durableId="857412">
    <w:abstractNumId w:val="14"/>
  </w:num>
  <w:num w:numId="9" w16cid:durableId="1208030628">
    <w:abstractNumId w:val="4"/>
  </w:num>
  <w:num w:numId="10" w16cid:durableId="1301692992">
    <w:abstractNumId w:val="12"/>
  </w:num>
  <w:num w:numId="11" w16cid:durableId="1534223292">
    <w:abstractNumId w:val="1"/>
  </w:num>
  <w:num w:numId="12" w16cid:durableId="169026516">
    <w:abstractNumId w:val="5"/>
  </w:num>
  <w:num w:numId="13" w16cid:durableId="720910737">
    <w:abstractNumId w:val="6"/>
  </w:num>
  <w:num w:numId="14" w16cid:durableId="933174932">
    <w:abstractNumId w:val="10"/>
  </w:num>
  <w:num w:numId="15" w16cid:durableId="852302882">
    <w:abstractNumId w:val="9"/>
  </w:num>
  <w:num w:numId="16" w16cid:durableId="719090106">
    <w:abstractNumId w:val="0"/>
  </w:num>
  <w:num w:numId="17" w16cid:durableId="1276138880">
    <w:abstractNumId w:val="11"/>
  </w:num>
  <w:num w:numId="18" w16cid:durableId="490172926">
    <w:abstractNumId w:val="7"/>
  </w:num>
  <w:num w:numId="19" w16cid:durableId="1639843010">
    <w:abstractNumId w:val="15"/>
  </w:num>
  <w:num w:numId="20" w16cid:durableId="2052918935">
    <w:abstractNumId w:val="8"/>
  </w:num>
  <w:num w:numId="21" w16cid:durableId="25336377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454"/>
  <w:drawingGridHorizontalSpacing w:val="187"/>
  <w:displayVerticalDrawingGridEvery w:val="2"/>
  <w:noPunctuationKerning/>
  <w:characterSpacingControl w:val="doNotCompress"/>
  <w:hdrShapeDefaults>
    <o:shapedefaults v:ext="edit" spidmax="2050">
      <o:colormru v:ext="edit" colors="#19f202,#63ce00,#9c3,#fc0,#f6c,#f03,#06c,#9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4E16"/>
    <w:rsid w:val="00024042"/>
    <w:rsid w:val="00025444"/>
    <w:rsid w:val="00025B04"/>
    <w:rsid w:val="0003762F"/>
    <w:rsid w:val="00066EBF"/>
    <w:rsid w:val="000805DC"/>
    <w:rsid w:val="00081694"/>
    <w:rsid w:val="00083701"/>
    <w:rsid w:val="000B0A74"/>
    <w:rsid w:val="000B4546"/>
    <w:rsid w:val="000B5178"/>
    <w:rsid w:val="000B6695"/>
    <w:rsid w:val="000B6FAE"/>
    <w:rsid w:val="000D0027"/>
    <w:rsid w:val="000D3722"/>
    <w:rsid w:val="000F30A6"/>
    <w:rsid w:val="001166BC"/>
    <w:rsid w:val="00130804"/>
    <w:rsid w:val="0014291F"/>
    <w:rsid w:val="00145DE9"/>
    <w:rsid w:val="00163149"/>
    <w:rsid w:val="00163AC6"/>
    <w:rsid w:val="00174897"/>
    <w:rsid w:val="001914B6"/>
    <w:rsid w:val="001B19A6"/>
    <w:rsid w:val="001E160F"/>
    <w:rsid w:val="00206AFC"/>
    <w:rsid w:val="00217FB9"/>
    <w:rsid w:val="002350F9"/>
    <w:rsid w:val="002928B1"/>
    <w:rsid w:val="002C1AEB"/>
    <w:rsid w:val="002C6479"/>
    <w:rsid w:val="002D1697"/>
    <w:rsid w:val="002D4356"/>
    <w:rsid w:val="002E72A0"/>
    <w:rsid w:val="002F0321"/>
    <w:rsid w:val="0030720B"/>
    <w:rsid w:val="00332543"/>
    <w:rsid w:val="00340FB2"/>
    <w:rsid w:val="003457BF"/>
    <w:rsid w:val="003465B6"/>
    <w:rsid w:val="00351DC7"/>
    <w:rsid w:val="0036002D"/>
    <w:rsid w:val="00380617"/>
    <w:rsid w:val="00380D4A"/>
    <w:rsid w:val="0040493C"/>
    <w:rsid w:val="00406843"/>
    <w:rsid w:val="00411D6E"/>
    <w:rsid w:val="0041D059"/>
    <w:rsid w:val="0042209B"/>
    <w:rsid w:val="00430E5D"/>
    <w:rsid w:val="00431F1E"/>
    <w:rsid w:val="004352E1"/>
    <w:rsid w:val="004373A2"/>
    <w:rsid w:val="0045562B"/>
    <w:rsid w:val="0045611B"/>
    <w:rsid w:val="00471C4E"/>
    <w:rsid w:val="00471D6C"/>
    <w:rsid w:val="00471F36"/>
    <w:rsid w:val="00473D40"/>
    <w:rsid w:val="00475E5E"/>
    <w:rsid w:val="00476181"/>
    <w:rsid w:val="00492FA6"/>
    <w:rsid w:val="00496A2D"/>
    <w:rsid w:val="004B6861"/>
    <w:rsid w:val="004D0CB2"/>
    <w:rsid w:val="004D6E65"/>
    <w:rsid w:val="004D7046"/>
    <w:rsid w:val="004E245C"/>
    <w:rsid w:val="004E6DC8"/>
    <w:rsid w:val="004F0054"/>
    <w:rsid w:val="004F1794"/>
    <w:rsid w:val="00506209"/>
    <w:rsid w:val="00506987"/>
    <w:rsid w:val="00514B2E"/>
    <w:rsid w:val="00520597"/>
    <w:rsid w:val="00525A6D"/>
    <w:rsid w:val="00533CC3"/>
    <w:rsid w:val="00544B90"/>
    <w:rsid w:val="0054714F"/>
    <w:rsid w:val="00550D8E"/>
    <w:rsid w:val="0055251A"/>
    <w:rsid w:val="00555E51"/>
    <w:rsid w:val="005601EC"/>
    <w:rsid w:val="0058128B"/>
    <w:rsid w:val="00595EA9"/>
    <w:rsid w:val="005B1957"/>
    <w:rsid w:val="005B27F6"/>
    <w:rsid w:val="005E2637"/>
    <w:rsid w:val="005F5D35"/>
    <w:rsid w:val="0060653A"/>
    <w:rsid w:val="0061487A"/>
    <w:rsid w:val="00625680"/>
    <w:rsid w:val="00637C83"/>
    <w:rsid w:val="00657253"/>
    <w:rsid w:val="00661711"/>
    <w:rsid w:val="00667BFD"/>
    <w:rsid w:val="00677896"/>
    <w:rsid w:val="00686C39"/>
    <w:rsid w:val="006A33FF"/>
    <w:rsid w:val="006A5311"/>
    <w:rsid w:val="006C48D8"/>
    <w:rsid w:val="006D4812"/>
    <w:rsid w:val="006F01F4"/>
    <w:rsid w:val="0070043D"/>
    <w:rsid w:val="0070124B"/>
    <w:rsid w:val="00723027"/>
    <w:rsid w:val="00735289"/>
    <w:rsid w:val="007612EA"/>
    <w:rsid w:val="00771395"/>
    <w:rsid w:val="00772AE1"/>
    <w:rsid w:val="00775D58"/>
    <w:rsid w:val="00781726"/>
    <w:rsid w:val="00794152"/>
    <w:rsid w:val="00794D15"/>
    <w:rsid w:val="007950B5"/>
    <w:rsid w:val="007C3A30"/>
    <w:rsid w:val="007C40B2"/>
    <w:rsid w:val="007E46D4"/>
    <w:rsid w:val="008036C5"/>
    <w:rsid w:val="00814473"/>
    <w:rsid w:val="00816B0D"/>
    <w:rsid w:val="0082049B"/>
    <w:rsid w:val="00847C7D"/>
    <w:rsid w:val="008543BE"/>
    <w:rsid w:val="00857F4E"/>
    <w:rsid w:val="008646BF"/>
    <w:rsid w:val="00880CD0"/>
    <w:rsid w:val="00883E5F"/>
    <w:rsid w:val="008843A0"/>
    <w:rsid w:val="008A3B1A"/>
    <w:rsid w:val="008C0D28"/>
    <w:rsid w:val="008C7A3B"/>
    <w:rsid w:val="008D0D18"/>
    <w:rsid w:val="008D7E04"/>
    <w:rsid w:val="008F08A7"/>
    <w:rsid w:val="008F2540"/>
    <w:rsid w:val="008F5F10"/>
    <w:rsid w:val="00902B35"/>
    <w:rsid w:val="00906E31"/>
    <w:rsid w:val="009531B6"/>
    <w:rsid w:val="00961660"/>
    <w:rsid w:val="00970997"/>
    <w:rsid w:val="00970C60"/>
    <w:rsid w:val="00974314"/>
    <w:rsid w:val="009776E2"/>
    <w:rsid w:val="009A548A"/>
    <w:rsid w:val="009B04F6"/>
    <w:rsid w:val="009B1DE1"/>
    <w:rsid w:val="009D4917"/>
    <w:rsid w:val="009E1AA1"/>
    <w:rsid w:val="00A23031"/>
    <w:rsid w:val="00A25BA1"/>
    <w:rsid w:val="00A37A18"/>
    <w:rsid w:val="00A50344"/>
    <w:rsid w:val="00A521F5"/>
    <w:rsid w:val="00A57D6B"/>
    <w:rsid w:val="00A67B78"/>
    <w:rsid w:val="00A7050D"/>
    <w:rsid w:val="00A75F05"/>
    <w:rsid w:val="00A82B98"/>
    <w:rsid w:val="00A91721"/>
    <w:rsid w:val="00AC1C49"/>
    <w:rsid w:val="00AC778F"/>
    <w:rsid w:val="00AD1DDF"/>
    <w:rsid w:val="00AE7673"/>
    <w:rsid w:val="00B00242"/>
    <w:rsid w:val="00B1575B"/>
    <w:rsid w:val="00B5250A"/>
    <w:rsid w:val="00B84027"/>
    <w:rsid w:val="00B93E5C"/>
    <w:rsid w:val="00BA1ADD"/>
    <w:rsid w:val="00BA3350"/>
    <w:rsid w:val="00BD77E4"/>
    <w:rsid w:val="00C00834"/>
    <w:rsid w:val="00C0330D"/>
    <w:rsid w:val="00C05224"/>
    <w:rsid w:val="00C224E0"/>
    <w:rsid w:val="00C34804"/>
    <w:rsid w:val="00C44783"/>
    <w:rsid w:val="00C603F5"/>
    <w:rsid w:val="00C6539C"/>
    <w:rsid w:val="00C75F73"/>
    <w:rsid w:val="00CB49B0"/>
    <w:rsid w:val="00CB62AA"/>
    <w:rsid w:val="00CE0E3E"/>
    <w:rsid w:val="00D0203A"/>
    <w:rsid w:val="00D028BD"/>
    <w:rsid w:val="00D15BCF"/>
    <w:rsid w:val="00D21CA8"/>
    <w:rsid w:val="00D22365"/>
    <w:rsid w:val="00D26527"/>
    <w:rsid w:val="00D45BCB"/>
    <w:rsid w:val="00D573FB"/>
    <w:rsid w:val="00D62330"/>
    <w:rsid w:val="00D7458A"/>
    <w:rsid w:val="00D77135"/>
    <w:rsid w:val="00D824C8"/>
    <w:rsid w:val="00D85F7B"/>
    <w:rsid w:val="00D92309"/>
    <w:rsid w:val="00DC17BE"/>
    <w:rsid w:val="00DC384D"/>
    <w:rsid w:val="00DE6629"/>
    <w:rsid w:val="00E307D2"/>
    <w:rsid w:val="00E3506E"/>
    <w:rsid w:val="00E37D6D"/>
    <w:rsid w:val="00E60738"/>
    <w:rsid w:val="00E81F9B"/>
    <w:rsid w:val="00E85FD4"/>
    <w:rsid w:val="00E91BA0"/>
    <w:rsid w:val="00E946C2"/>
    <w:rsid w:val="00EA0B2E"/>
    <w:rsid w:val="00EB2EDD"/>
    <w:rsid w:val="00EC40EC"/>
    <w:rsid w:val="00ED5E87"/>
    <w:rsid w:val="00ED717E"/>
    <w:rsid w:val="00EF0B83"/>
    <w:rsid w:val="00F02EA1"/>
    <w:rsid w:val="00F06E0A"/>
    <w:rsid w:val="00F13676"/>
    <w:rsid w:val="00F354D7"/>
    <w:rsid w:val="00F372C9"/>
    <w:rsid w:val="00F378F7"/>
    <w:rsid w:val="00F50E95"/>
    <w:rsid w:val="00F674D2"/>
    <w:rsid w:val="00F71D81"/>
    <w:rsid w:val="00F732F8"/>
    <w:rsid w:val="00F90463"/>
    <w:rsid w:val="00F95CAB"/>
    <w:rsid w:val="00F97995"/>
    <w:rsid w:val="00FA0D1B"/>
    <w:rsid w:val="00FC1636"/>
    <w:rsid w:val="00FD0FB3"/>
    <w:rsid w:val="00FE7433"/>
    <w:rsid w:val="0151BA9E"/>
    <w:rsid w:val="017DE8AD"/>
    <w:rsid w:val="04C5B170"/>
    <w:rsid w:val="061316B0"/>
    <w:rsid w:val="06958B3B"/>
    <w:rsid w:val="06A6C772"/>
    <w:rsid w:val="076FEAC3"/>
    <w:rsid w:val="0B93A8A2"/>
    <w:rsid w:val="0B9FFE38"/>
    <w:rsid w:val="0BB44309"/>
    <w:rsid w:val="0D1608F6"/>
    <w:rsid w:val="0DD00924"/>
    <w:rsid w:val="0EB1D957"/>
    <w:rsid w:val="104354B5"/>
    <w:rsid w:val="104DA9B8"/>
    <w:rsid w:val="113734DA"/>
    <w:rsid w:val="149C79E6"/>
    <w:rsid w:val="15AB8216"/>
    <w:rsid w:val="15DC1857"/>
    <w:rsid w:val="163CF6C9"/>
    <w:rsid w:val="16BCEB3C"/>
    <w:rsid w:val="17F4762E"/>
    <w:rsid w:val="1858BB9D"/>
    <w:rsid w:val="1BD25459"/>
    <w:rsid w:val="1D341A46"/>
    <w:rsid w:val="1ECFEAA7"/>
    <w:rsid w:val="1F09F51B"/>
    <w:rsid w:val="1F14D739"/>
    <w:rsid w:val="208C36A7"/>
    <w:rsid w:val="20DC823E"/>
    <w:rsid w:val="22286D80"/>
    <w:rsid w:val="23C43DE1"/>
    <w:rsid w:val="24FBF61C"/>
    <w:rsid w:val="264BE3AF"/>
    <w:rsid w:val="26DAFC8C"/>
    <w:rsid w:val="2DA33CF5"/>
    <w:rsid w:val="326E4026"/>
    <w:rsid w:val="32F849C9"/>
    <w:rsid w:val="338C1348"/>
    <w:rsid w:val="3506416C"/>
    <w:rsid w:val="3724FB26"/>
    <w:rsid w:val="39886D64"/>
    <w:rsid w:val="41729D32"/>
    <w:rsid w:val="41CB9C17"/>
    <w:rsid w:val="430E6D93"/>
    <w:rsid w:val="4342CA84"/>
    <w:rsid w:val="45033CD9"/>
    <w:rsid w:val="45281067"/>
    <w:rsid w:val="47E1DEB6"/>
    <w:rsid w:val="4C2E2482"/>
    <w:rsid w:val="510D720A"/>
    <w:rsid w:val="51E9AD67"/>
    <w:rsid w:val="55D506C8"/>
    <w:rsid w:val="55DE2925"/>
    <w:rsid w:val="568501BC"/>
    <w:rsid w:val="57390017"/>
    <w:rsid w:val="5858EEEB"/>
    <w:rsid w:val="598E89EC"/>
    <w:rsid w:val="5AC5E484"/>
    <w:rsid w:val="5C122B5E"/>
    <w:rsid w:val="619B8DDD"/>
    <w:rsid w:val="62676B4C"/>
    <w:rsid w:val="6D7D23A5"/>
    <w:rsid w:val="74E72E16"/>
    <w:rsid w:val="76C8E5FA"/>
    <w:rsid w:val="77AAD857"/>
    <w:rsid w:val="7D033D84"/>
    <w:rsid w:val="7DC9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9f202,#63ce00,#9c3,#fc0,#f6c,#f03,#06c,#909"/>
    </o:shapedefaults>
    <o:shapelayout v:ext="edit">
      <o:idmap v:ext="edit" data="2"/>
    </o:shapelayout>
  </w:shapeDefaults>
  <w:decimalSymbol w:val="."/>
  <w:listSeparator w:val=","/>
  <w14:docId w14:val="5CFC17D9"/>
  <w15:docId w15:val="{AB196012-BB64-4861-9B22-9EE599C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4E16"/>
    <w:pPr>
      <w:spacing w:before="40" w:after="40" w:line="300" w:lineRule="atLeast"/>
      <w:jc w:val="both"/>
    </w:pPr>
    <w:rPr>
      <w:rFonts w:ascii="Gill Alt One MT" w:hAnsi="Gill Alt One MT"/>
      <w:sz w:val="24"/>
      <w:szCs w:val="24"/>
    </w:rPr>
  </w:style>
  <w:style w:type="paragraph" w:styleId="Heading1">
    <w:name w:val="heading 1"/>
    <w:next w:val="Normal"/>
    <w:link w:val="Heading1Char"/>
    <w:qFormat/>
    <w:rsid w:val="00974314"/>
    <w:pPr>
      <w:spacing w:before="240" w:after="60"/>
      <w:outlineLvl w:val="0"/>
    </w:pPr>
    <w:rPr>
      <w:rFonts w:ascii="Gill Alt One MT" w:hAnsi="Gill Alt One MT" w:cs="Arial"/>
      <w:b/>
      <w:bCs/>
      <w:iCs/>
      <w:sz w:val="32"/>
      <w:szCs w:val="32"/>
    </w:rPr>
  </w:style>
  <w:style w:type="paragraph" w:styleId="Heading2">
    <w:name w:val="heading 2"/>
    <w:basedOn w:val="Normal"/>
    <w:next w:val="Normal"/>
    <w:qFormat/>
    <w:rsid w:val="008F08A7"/>
    <w:pPr>
      <w:keepNext/>
      <w:spacing w:before="240" w:after="60"/>
      <w:jc w:val="left"/>
      <w:outlineLvl w:val="1"/>
    </w:pPr>
    <w:rPr>
      <w:rFonts w:cs="Arial"/>
      <w:b/>
      <w:bCs/>
      <w:iCs/>
      <w:sz w:val="28"/>
      <w:szCs w:val="28"/>
    </w:rPr>
  </w:style>
  <w:style w:type="paragraph" w:styleId="Heading3">
    <w:name w:val="heading 3"/>
    <w:basedOn w:val="Normal"/>
    <w:next w:val="Normal"/>
    <w:link w:val="Heading3Char"/>
    <w:qFormat/>
    <w:rsid w:val="000B4546"/>
    <w:pPr>
      <w:keepNext/>
      <w:spacing w:before="240" w:after="60"/>
      <w:jc w:val="left"/>
      <w:outlineLvl w:val="2"/>
    </w:pPr>
    <w:rPr>
      <w:rFonts w:cs="Arial"/>
      <w:b/>
      <w:b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74314"/>
    <w:rPr>
      <w:rFonts w:ascii="Gill Alt One MT" w:hAnsi="Gill Alt One MT" w:cs="Arial"/>
      <w:b/>
      <w:bCs/>
      <w:iCs/>
      <w:sz w:val="32"/>
      <w:szCs w:val="32"/>
      <w:lang w:val="en-GB" w:eastAsia="en-GB" w:bidi="ar-SA"/>
    </w:rPr>
  </w:style>
  <w:style w:type="character" w:styleId="Heading3Char" w:customStyle="1">
    <w:name w:val="Heading 3 Char"/>
    <w:link w:val="Heading3"/>
    <w:rsid w:val="006F01F4"/>
    <w:rPr>
      <w:rFonts w:ascii="Gill Alt One MT" w:hAnsi="Gill Alt One MT" w:cs="Arial"/>
      <w:b/>
      <w:bCs/>
      <w:sz w:val="24"/>
      <w:szCs w:val="26"/>
      <w:lang w:val="en-GB" w:eastAsia="en-GB" w:bidi="ar-SA"/>
    </w:rPr>
  </w:style>
  <w:style w:type="paragraph" w:styleId="BulletsGreen" w:customStyle="1">
    <w:name w:val="Bullets Green"/>
    <w:basedOn w:val="Normal"/>
    <w:link w:val="BulletsGreenChar"/>
    <w:rsid w:val="00550D8E"/>
    <w:pPr>
      <w:numPr>
        <w:numId w:val="14"/>
      </w:numPr>
    </w:pPr>
    <w:rPr>
      <w:szCs w:val="20"/>
    </w:rPr>
  </w:style>
  <w:style w:type="character" w:styleId="BulletsGreenChar" w:customStyle="1">
    <w:name w:val="Bullets Green Char"/>
    <w:link w:val="BulletsGreen"/>
    <w:rsid w:val="00550D8E"/>
    <w:rPr>
      <w:rFonts w:ascii="Gill Alt One MT" w:hAnsi="Gill Alt One MT"/>
      <w:sz w:val="24"/>
      <w:lang w:val="en-GB" w:eastAsia="en-GB" w:bidi="ar-SA"/>
    </w:rPr>
  </w:style>
  <w:style w:type="paragraph" w:styleId="Header">
    <w:name w:val="header"/>
    <w:basedOn w:val="Footer"/>
    <w:semiHidden/>
    <w:rsid w:val="00163AC6"/>
    <w:pPr>
      <w:tabs>
        <w:tab w:val="right" w:pos="8306"/>
      </w:tabs>
    </w:pPr>
  </w:style>
  <w:style w:type="paragraph" w:styleId="Footer">
    <w:name w:val="footer"/>
    <w:semiHidden/>
    <w:rsid w:val="00217FB9"/>
    <w:pPr>
      <w:tabs>
        <w:tab w:val="center" w:pos="4153"/>
        <w:tab w:val="right" w:pos="9498"/>
      </w:tabs>
    </w:pPr>
    <w:rPr>
      <w:rFonts w:ascii="Gill Alt One MT" w:hAnsi="Gill Alt One MT"/>
      <w:b/>
      <w:color w:val="FFFFFF"/>
      <w:spacing w:val="40"/>
      <w:szCs w:val="24"/>
    </w:rPr>
  </w:style>
  <w:style w:type="paragraph" w:styleId="LargeHeading" w:customStyle="1">
    <w:name w:val="Large Heading"/>
    <w:semiHidden/>
    <w:rsid w:val="004D0CB2"/>
    <w:pPr>
      <w:spacing w:before="510"/>
      <w:ind w:left="1304"/>
    </w:pPr>
    <w:rPr>
      <w:rFonts w:ascii="Gill Alt One MT" w:hAnsi="Gill Alt One MT"/>
      <w:spacing w:val="40"/>
      <w:sz w:val="40"/>
      <w:szCs w:val="40"/>
    </w:rPr>
  </w:style>
  <w:style w:type="paragraph" w:styleId="XLargeHeading" w:customStyle="1">
    <w:name w:val="XLarge Heading"/>
    <w:semiHidden/>
    <w:rsid w:val="00BA1ADD"/>
    <w:pPr>
      <w:ind w:left="1247"/>
    </w:pPr>
    <w:rPr>
      <w:rFonts w:ascii="Gill Alt One MT" w:hAnsi="Gill Alt One MT" w:cs="Arial"/>
      <w:bCs/>
      <w:kern w:val="32"/>
      <w:sz w:val="64"/>
      <w:szCs w:val="56"/>
    </w:rPr>
  </w:style>
  <w:style w:type="paragraph" w:styleId="Callout" w:customStyle="1">
    <w:name w:val="Callout"/>
    <w:basedOn w:val="Normal"/>
    <w:next w:val="Normal"/>
    <w:semiHidden/>
    <w:rsid w:val="001B19A6"/>
    <w:pPr>
      <w:pBdr>
        <w:top w:val="single" w:color="99CC33" w:sz="12" w:space="1"/>
        <w:left w:val="single" w:color="99CC33" w:sz="12" w:space="4"/>
        <w:bottom w:val="single" w:color="99CC33" w:sz="12" w:space="1"/>
        <w:right w:val="single" w:color="99CC33" w:sz="12" w:space="4"/>
      </w:pBdr>
      <w:spacing w:before="80" w:after="80"/>
    </w:pPr>
    <w:rPr>
      <w:iCs/>
    </w:rPr>
  </w:style>
  <w:style w:type="paragraph" w:styleId="TOC1">
    <w:name w:val="toc 1"/>
    <w:basedOn w:val="Normal"/>
    <w:next w:val="Normal"/>
    <w:autoRedefine/>
    <w:semiHidden/>
    <w:rsid w:val="00686C39"/>
    <w:pPr>
      <w:tabs>
        <w:tab w:val="right" w:leader="dot" w:pos="9628"/>
      </w:tabs>
      <w:jc w:val="left"/>
    </w:pPr>
  </w:style>
  <w:style w:type="paragraph" w:styleId="TOC2">
    <w:name w:val="toc 2"/>
    <w:basedOn w:val="Normal"/>
    <w:next w:val="Normal"/>
    <w:autoRedefine/>
    <w:semiHidden/>
    <w:rsid w:val="00686C39"/>
    <w:pPr>
      <w:ind w:left="240"/>
      <w:jc w:val="left"/>
    </w:pPr>
  </w:style>
  <w:style w:type="paragraph" w:styleId="TOC3">
    <w:name w:val="toc 3"/>
    <w:basedOn w:val="Normal"/>
    <w:next w:val="Normal"/>
    <w:autoRedefine/>
    <w:semiHidden/>
    <w:rsid w:val="00686C39"/>
    <w:pPr>
      <w:ind w:left="480"/>
      <w:jc w:val="left"/>
    </w:pPr>
  </w:style>
  <w:style w:type="character" w:styleId="Hyperlink">
    <w:name w:val="Hyperlink"/>
    <w:rsid w:val="001B19A6"/>
    <w:rPr>
      <w:color w:val="0000FF"/>
      <w:u w:val="single"/>
    </w:rPr>
  </w:style>
  <w:style w:type="table" w:styleId="TableGrid">
    <w:name w:val="Table Grid"/>
    <w:basedOn w:val="TableNormal"/>
    <w:rsid w:val="00B525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7612EA"/>
    <w:rPr>
      <w:rFonts w:ascii="Tahoma" w:hAnsi="Tahoma" w:cs="Tahoma"/>
      <w:sz w:val="16"/>
      <w:szCs w:val="16"/>
    </w:rPr>
  </w:style>
  <w:style w:type="paragraph" w:styleId="List">
    <w:name w:val="List"/>
    <w:basedOn w:val="Normal"/>
    <w:rsid w:val="00D573FB"/>
    <w:pPr>
      <w:ind w:left="283" w:hanging="283"/>
    </w:pPr>
  </w:style>
  <w:style w:type="paragraph" w:styleId="List2">
    <w:name w:val="List 2"/>
    <w:basedOn w:val="Normal"/>
    <w:rsid w:val="00D573FB"/>
    <w:pPr>
      <w:ind w:left="566" w:hanging="283"/>
    </w:pPr>
  </w:style>
  <w:style w:type="paragraph" w:styleId="List3">
    <w:name w:val="List 3"/>
    <w:basedOn w:val="Normal"/>
    <w:rsid w:val="00D573FB"/>
    <w:pPr>
      <w:ind w:left="849" w:hanging="283"/>
    </w:pPr>
  </w:style>
  <w:style w:type="paragraph" w:styleId="Date">
    <w:name w:val="Date"/>
    <w:basedOn w:val="Normal"/>
    <w:next w:val="Normal"/>
    <w:rsid w:val="00D573FB"/>
  </w:style>
  <w:style w:type="character" w:styleId="CommentReference">
    <w:name w:val="annotation reference"/>
    <w:basedOn w:val="DefaultParagraphFont"/>
    <w:semiHidden/>
    <w:unhideWhenUsed/>
    <w:rsid w:val="00FA0D1B"/>
    <w:rPr>
      <w:sz w:val="16"/>
      <w:szCs w:val="16"/>
    </w:rPr>
  </w:style>
  <w:style w:type="paragraph" w:styleId="CommentText">
    <w:name w:val="annotation text"/>
    <w:basedOn w:val="Normal"/>
    <w:link w:val="CommentTextChar"/>
    <w:unhideWhenUsed/>
    <w:rsid w:val="00FA0D1B"/>
    <w:rPr>
      <w:sz w:val="20"/>
      <w:szCs w:val="20"/>
    </w:rPr>
  </w:style>
  <w:style w:type="character" w:styleId="CommentTextChar" w:customStyle="1">
    <w:name w:val="Comment Text Char"/>
    <w:basedOn w:val="DefaultParagraphFont"/>
    <w:link w:val="CommentText"/>
    <w:rsid w:val="00FA0D1B"/>
    <w:rPr>
      <w:rFonts w:ascii="Gill Alt One MT" w:hAnsi="Gill Alt One MT"/>
    </w:rPr>
  </w:style>
  <w:style w:type="paragraph" w:styleId="CommentSubject">
    <w:name w:val="annotation subject"/>
    <w:basedOn w:val="CommentText"/>
    <w:next w:val="CommentText"/>
    <w:link w:val="CommentSubjectChar"/>
    <w:semiHidden/>
    <w:unhideWhenUsed/>
    <w:rsid w:val="00FA0D1B"/>
    <w:rPr>
      <w:b/>
      <w:bCs/>
    </w:rPr>
  </w:style>
  <w:style w:type="character" w:styleId="CommentSubjectChar" w:customStyle="1">
    <w:name w:val="Comment Subject Char"/>
    <w:basedOn w:val="CommentTextChar"/>
    <w:link w:val="CommentSubject"/>
    <w:semiHidden/>
    <w:rsid w:val="00FA0D1B"/>
    <w:rPr>
      <w:rFonts w:ascii="Gill Alt One MT" w:hAnsi="Gill Alt One MT"/>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2c902ab0aeea44d4" Type="http://schemas.openxmlformats.org/officeDocument/2006/relationships/image" Target="/media/image2.jpg"/><Relationship Id="rId18" Type="http://schemas.openxmlformats.org/officeDocument/2006/relationships/customXml" Target="../customXml/item1.xml"/><Relationship Id="rId3" Type="http://schemas.openxmlformats.org/officeDocument/2006/relationships/settings" Target="setting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a30e225c5c254c62"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D55A55E7054E97EEF2E0047F4A95" ma:contentTypeVersion="6" ma:contentTypeDescription="Create a new document." ma:contentTypeScope="" ma:versionID="2047eb7d1888d2817227db6115ef7b53">
  <xsd:schema xmlns:xsd="http://www.w3.org/2001/XMLSchema" xmlns:xs="http://www.w3.org/2001/XMLSchema" xmlns:p="http://schemas.microsoft.com/office/2006/metadata/properties" xmlns:ns2="229fa87d-19ef-43e5-b2f1-8a3386dda8ac" xmlns:ns3="89ecca07-5825-4736-b63c-4ee5e9ac0e57" targetNamespace="http://schemas.microsoft.com/office/2006/metadata/properties" ma:root="true" ma:fieldsID="22308288f339357012363d174c397eda" ns2:_="" ns3:_="">
    <xsd:import namespace="229fa87d-19ef-43e5-b2f1-8a3386dda8ac"/>
    <xsd:import namespace="89ecca07-5825-4736-b63c-4ee5e9ac0e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a87d-19ef-43e5-b2f1-8a3386dd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ecca07-5825-4736-b63c-4ee5e9ac0e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6CB8E-D725-4693-8C5D-9748C10CB6A6}"/>
</file>

<file path=customXml/itemProps2.xml><?xml version="1.0" encoding="utf-8"?>
<ds:datastoreItem xmlns:ds="http://schemas.openxmlformats.org/officeDocument/2006/customXml" ds:itemID="{CF1B79F9-5C91-4E13-9F3F-D5DA26A396FC}"/>
</file>

<file path=customXml/itemProps3.xml><?xml version="1.0" encoding="utf-8"?>
<ds:datastoreItem xmlns:ds="http://schemas.openxmlformats.org/officeDocument/2006/customXml" ds:itemID="{94FDC2CA-9DA6-476F-9CA5-5368685AD4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Rebecca Warnes</cp:lastModifiedBy>
  <cp:revision>11</cp:revision>
  <cp:lastPrinted>2016-06-22T21:50:00Z</cp:lastPrinted>
  <dcterms:created xsi:type="dcterms:W3CDTF">2024-02-26T19:32:00Z</dcterms:created>
  <dcterms:modified xsi:type="dcterms:W3CDTF">2024-02-28T10:03:27Z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0x01010015D0D55A55E7054E97EEF2E0047F4A95</vt:lpwstr>
  </property>
</Properties>
</file>