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9B0AD" w14:textId="1E63C689" w:rsidR="00840D2D" w:rsidRPr="00CC7DBA" w:rsidRDefault="00840D2D" w:rsidP="00840D2D">
      <w:pPr>
        <w:tabs>
          <w:tab w:val="right" w:pos="5103"/>
        </w:tabs>
        <w:spacing w:before="240" w:line="520" w:lineRule="exact"/>
        <w:ind w:left="720" w:right="-142" w:firstLine="720"/>
        <w:jc w:val="right"/>
        <w:rPr>
          <w:sz w:val="52"/>
          <w:szCs w:val="52"/>
        </w:rPr>
        <w:sectPr w:rsidR="00840D2D" w:rsidRPr="00CC7DBA" w:rsidSect="001E1DF2">
          <w:headerReference w:type="even" r:id="rId7"/>
          <w:headerReference w:type="default" r:id="rId8"/>
          <w:footerReference w:type="even" r:id="rId9"/>
          <w:footerReference w:type="first" r:id="rId10"/>
          <w:pgSz w:w="11899" w:h="16838"/>
          <w:pgMar w:top="709" w:right="984" w:bottom="1440" w:left="1418" w:header="426" w:footer="606" w:gutter="0"/>
          <w:cols w:space="708"/>
          <w:titlePg/>
          <w:docGrid w:linePitch="326"/>
        </w:sectPr>
      </w:pPr>
      <w:r w:rsidRPr="00CC7DBA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177753F" wp14:editId="4AC67577">
            <wp:simplePos x="0" y="0"/>
            <wp:positionH relativeFrom="column">
              <wp:posOffset>-506095</wp:posOffset>
            </wp:positionH>
            <wp:positionV relativeFrom="paragraph">
              <wp:posOffset>9525</wp:posOffset>
            </wp:positionV>
            <wp:extent cx="1943100" cy="913130"/>
            <wp:effectExtent l="0" t="0" r="0" b="1270"/>
            <wp:wrapSquare wrapText="bothSides"/>
            <wp:docPr id="1994767365" name="Picture 1" descr="Green and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767365" name="Picture 1" descr="Green and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DBA">
        <w:rPr>
          <w:sz w:val="52"/>
          <w:szCs w:val="52"/>
        </w:rPr>
        <w:t>Policy</w:t>
      </w:r>
    </w:p>
    <w:p w14:paraId="605BBEEE" w14:textId="77777777" w:rsidR="00840D2D" w:rsidRPr="00DF2B47" w:rsidRDefault="00840D2D" w:rsidP="00840D2D">
      <w:pPr>
        <w:jc w:val="right"/>
      </w:pPr>
      <w:r w:rsidRPr="00DF2B47">
        <w:t>Date:</w:t>
      </w:r>
      <w:r>
        <w:t>01.08.2022</w:t>
      </w:r>
      <w:r w:rsidRPr="00DF2B47">
        <w:t xml:space="preserve"> </w:t>
      </w:r>
    </w:p>
    <w:p w14:paraId="3AB88CD9" w14:textId="1E0F71FC" w:rsidR="00840D2D" w:rsidRPr="00DF2B47" w:rsidRDefault="00840D2D" w:rsidP="00840D2D">
      <w:pPr>
        <w:jc w:val="right"/>
      </w:pPr>
      <w:r w:rsidRPr="00DF2B47">
        <w:t>Review Dat</w:t>
      </w:r>
      <w:r>
        <w:t>e: 3</w:t>
      </w:r>
      <w:r w:rsidR="00700604">
        <w:t>0</w:t>
      </w:r>
      <w:r>
        <w:t>.</w:t>
      </w:r>
      <w:r w:rsidR="00C2546C">
        <w:t>0</w:t>
      </w:r>
      <w:r w:rsidR="0049403E">
        <w:t>4</w:t>
      </w:r>
      <w:r w:rsidR="00C2546C">
        <w:t>.2024</w:t>
      </w:r>
    </w:p>
    <w:p w14:paraId="5500393F" w14:textId="77777777" w:rsidR="00840D2D" w:rsidRPr="00DF0AA3" w:rsidRDefault="00840D2D" w:rsidP="00840D2D">
      <w:pPr>
        <w:jc w:val="right"/>
        <w:rPr>
          <w:sz w:val="16"/>
          <w:szCs w:val="16"/>
        </w:rPr>
      </w:pPr>
    </w:p>
    <w:p w14:paraId="04A10C9E" w14:textId="77777777" w:rsidR="00840D2D" w:rsidRPr="00DF0AA3" w:rsidRDefault="00840D2D" w:rsidP="00840D2D">
      <w:pPr>
        <w:rPr>
          <w:sz w:val="16"/>
          <w:szCs w:val="16"/>
        </w:rPr>
      </w:pPr>
      <w:r w:rsidRPr="00DF0AA3">
        <w:rPr>
          <w:sz w:val="16"/>
          <w:szCs w:val="16"/>
        </w:rPr>
        <w:t>______________________________________________________________</w:t>
      </w:r>
      <w:r>
        <w:rPr>
          <w:sz w:val="16"/>
          <w:szCs w:val="16"/>
        </w:rPr>
        <w:t>_______________________________</w:t>
      </w:r>
    </w:p>
    <w:p w14:paraId="316DBE00" w14:textId="77777777" w:rsidR="00840D2D" w:rsidRDefault="00840D2D" w:rsidP="00840D2D">
      <w:pPr>
        <w:rPr>
          <w:rFonts w:ascii="Gill Alt One MT" w:hAnsi="Gill Alt One MT"/>
          <w:b/>
          <w:sz w:val="44"/>
          <w:szCs w:val="44"/>
        </w:rPr>
      </w:pPr>
    </w:p>
    <w:p w14:paraId="5A1ECD1B" w14:textId="77777777" w:rsidR="00840D2D" w:rsidRDefault="00840D2D" w:rsidP="00840D2D">
      <w:pPr>
        <w:pStyle w:val="Heading1"/>
      </w:pPr>
      <w:r w:rsidRPr="00606F86">
        <w:t xml:space="preserve">Acting up Policy &amp; Procedure </w:t>
      </w:r>
    </w:p>
    <w:p w14:paraId="6AAF6D1B" w14:textId="77777777" w:rsidR="00840D2D" w:rsidRDefault="00840D2D" w:rsidP="00840D2D">
      <w:pPr>
        <w:rPr>
          <w:rStyle w:val="Emphasis"/>
        </w:rPr>
      </w:pPr>
    </w:p>
    <w:p w14:paraId="66F99F04" w14:textId="77777777" w:rsidR="00840D2D" w:rsidRPr="00606F86" w:rsidRDefault="00840D2D" w:rsidP="00840D2D">
      <w:pPr>
        <w:pStyle w:val="Heading1"/>
        <w:rPr>
          <w:sz w:val="22"/>
          <w:szCs w:val="22"/>
        </w:rPr>
      </w:pPr>
      <w:r w:rsidRPr="00606F86">
        <w:rPr>
          <w:rStyle w:val="Emphasis"/>
        </w:rPr>
        <w:t>Policy</w:t>
      </w:r>
      <w:r w:rsidRPr="00606F86">
        <w:rPr>
          <w:sz w:val="22"/>
          <w:szCs w:val="22"/>
        </w:rPr>
        <w:t xml:space="preserve"> </w:t>
      </w:r>
    </w:p>
    <w:p w14:paraId="1156401C" w14:textId="77777777" w:rsidR="00840D2D" w:rsidRPr="00606F86" w:rsidRDefault="00840D2D" w:rsidP="00840D2D">
      <w:pPr>
        <w:numPr>
          <w:ilvl w:val="0"/>
          <w:numId w:val="1"/>
        </w:numPr>
        <w:rPr>
          <w:sz w:val="22"/>
          <w:szCs w:val="22"/>
        </w:rPr>
      </w:pPr>
      <w:r w:rsidRPr="00606F86">
        <w:rPr>
          <w:rFonts w:cs="Tahoma"/>
          <w:sz w:val="22"/>
          <w:szCs w:val="22"/>
        </w:rPr>
        <w:t>Acting up is appropriate in situations where short-term cover of a more senior post is required, e.g., sickness absence, maternity/adoption leave,</w:t>
      </w:r>
      <w:r>
        <w:rPr>
          <w:rFonts w:cs="Tahoma"/>
          <w:sz w:val="22"/>
          <w:szCs w:val="22"/>
        </w:rPr>
        <w:t xml:space="preserve"> </w:t>
      </w:r>
      <w:r w:rsidRPr="00606F86">
        <w:rPr>
          <w:rFonts w:cs="Tahoma"/>
          <w:sz w:val="22"/>
          <w:szCs w:val="22"/>
        </w:rPr>
        <w:t>pending recruitment of a replacement.</w:t>
      </w:r>
    </w:p>
    <w:p w14:paraId="34E63BFA" w14:textId="77777777" w:rsidR="00840D2D" w:rsidRPr="00606F86" w:rsidRDefault="00840D2D" w:rsidP="00840D2D">
      <w:pPr>
        <w:numPr>
          <w:ilvl w:val="0"/>
          <w:numId w:val="1"/>
        </w:numPr>
        <w:rPr>
          <w:rFonts w:cs="Tahoma"/>
          <w:color w:val="000000"/>
          <w:sz w:val="22"/>
          <w:szCs w:val="22"/>
          <w:lang w:val="en-US"/>
        </w:rPr>
      </w:pPr>
      <w:r w:rsidRPr="00606F86">
        <w:rPr>
          <w:rFonts w:cs="Tahoma"/>
          <w:sz w:val="22"/>
          <w:szCs w:val="22"/>
        </w:rPr>
        <w:t>Acting up arrangements should normally be for a minimum period of 4 weeks to 3 months and should never be longer than 6 months without conducting a full review and obtaining further approval from the line manager</w:t>
      </w:r>
      <w:r>
        <w:rPr>
          <w:rFonts w:cs="Tahoma"/>
          <w:sz w:val="22"/>
          <w:szCs w:val="22"/>
        </w:rPr>
        <w:t>’s manager</w:t>
      </w:r>
      <w:r w:rsidRPr="00606F86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 xml:space="preserve"> </w:t>
      </w:r>
      <w:r w:rsidRPr="00606F86">
        <w:rPr>
          <w:rFonts w:cs="Tahoma"/>
          <w:color w:val="000000"/>
          <w:sz w:val="22"/>
          <w:szCs w:val="22"/>
          <w:lang w:val="en-US"/>
        </w:rPr>
        <w:t>A fair and transparent process will be applied to selection decisions for acting up</w:t>
      </w:r>
      <w:r>
        <w:rPr>
          <w:rFonts w:cs="Tahoma"/>
          <w:color w:val="000000"/>
          <w:sz w:val="22"/>
          <w:szCs w:val="22"/>
          <w:lang w:val="en-US"/>
        </w:rPr>
        <w:t xml:space="preserve"> arrangements</w:t>
      </w:r>
      <w:r w:rsidRPr="00606F86">
        <w:rPr>
          <w:rFonts w:cs="Tahoma"/>
          <w:color w:val="000000"/>
          <w:sz w:val="22"/>
          <w:szCs w:val="22"/>
          <w:lang w:val="en-US"/>
        </w:rPr>
        <w:t>.</w:t>
      </w:r>
    </w:p>
    <w:p w14:paraId="7F97BC6F" w14:textId="77777777" w:rsidR="00840D2D" w:rsidRPr="00606F86" w:rsidRDefault="00840D2D" w:rsidP="00840D2D">
      <w:pPr>
        <w:numPr>
          <w:ilvl w:val="0"/>
          <w:numId w:val="1"/>
        </w:numPr>
        <w:rPr>
          <w:sz w:val="22"/>
          <w:szCs w:val="22"/>
        </w:rPr>
      </w:pPr>
      <w:r w:rsidRPr="00606F86">
        <w:rPr>
          <w:rFonts w:cs="Tahoma"/>
          <w:sz w:val="22"/>
          <w:szCs w:val="22"/>
        </w:rPr>
        <w:t>Managers should ensure they have objective evidence to support their selection decision.</w:t>
      </w:r>
    </w:p>
    <w:p w14:paraId="7B24EDA0" w14:textId="77777777" w:rsidR="00840D2D" w:rsidRPr="00606F86" w:rsidRDefault="00840D2D" w:rsidP="00840D2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606F86">
        <w:rPr>
          <w:sz w:val="22"/>
          <w:szCs w:val="22"/>
        </w:rPr>
        <w:t xml:space="preserve">Where an acting up post is subsequently established as permanent, the job will be advertised in line with the prevailing </w:t>
      </w:r>
      <w:r>
        <w:rPr>
          <w:sz w:val="22"/>
          <w:szCs w:val="22"/>
        </w:rPr>
        <w:t>R</w:t>
      </w:r>
      <w:r w:rsidRPr="00606F86">
        <w:rPr>
          <w:sz w:val="22"/>
          <w:szCs w:val="22"/>
        </w:rPr>
        <w:t>ecruitment</w:t>
      </w:r>
      <w:r>
        <w:rPr>
          <w:sz w:val="22"/>
          <w:szCs w:val="22"/>
        </w:rPr>
        <w:t xml:space="preserve"> and Selection</w:t>
      </w:r>
      <w:r w:rsidRPr="00606F86">
        <w:rPr>
          <w:sz w:val="22"/>
          <w:szCs w:val="22"/>
        </w:rPr>
        <w:t xml:space="preserve"> policy.</w:t>
      </w:r>
    </w:p>
    <w:p w14:paraId="52BD0457" w14:textId="77777777" w:rsidR="00840D2D" w:rsidRPr="007A0799" w:rsidRDefault="00840D2D" w:rsidP="00840D2D">
      <w:pPr>
        <w:pStyle w:val="Heading1"/>
        <w:rPr>
          <w:rFonts w:cs="Arial"/>
          <w:sz w:val="22"/>
          <w:szCs w:val="22"/>
        </w:rPr>
      </w:pPr>
      <w:r w:rsidRPr="007A0799">
        <w:rPr>
          <w:rStyle w:val="Emphasis"/>
          <w:sz w:val="22"/>
          <w:szCs w:val="22"/>
        </w:rPr>
        <w:t>Definition</w:t>
      </w:r>
    </w:p>
    <w:p w14:paraId="385C6921" w14:textId="77777777" w:rsidR="00840D2D" w:rsidRPr="007A0799" w:rsidRDefault="00840D2D" w:rsidP="00840D2D">
      <w:pPr>
        <w:rPr>
          <w:sz w:val="22"/>
          <w:szCs w:val="22"/>
        </w:rPr>
      </w:pPr>
      <w:r w:rsidRPr="007A0799">
        <w:rPr>
          <w:rFonts w:cs="Tahoma"/>
          <w:sz w:val="22"/>
          <w:szCs w:val="22"/>
        </w:rPr>
        <w:t>Acting up is the temporary promotion within a department of a</w:t>
      </w:r>
      <w:r>
        <w:rPr>
          <w:rFonts w:cs="Tahoma"/>
          <w:sz w:val="22"/>
          <w:szCs w:val="22"/>
        </w:rPr>
        <w:t xml:space="preserve"> colleague </w:t>
      </w:r>
      <w:r w:rsidRPr="007A0799">
        <w:rPr>
          <w:rFonts w:cs="Tahoma"/>
          <w:sz w:val="22"/>
          <w:szCs w:val="22"/>
        </w:rPr>
        <w:t>to a more senior grade for a specific</w:t>
      </w:r>
      <w:r>
        <w:rPr>
          <w:rFonts w:cs="Tahoma"/>
          <w:sz w:val="22"/>
          <w:szCs w:val="22"/>
        </w:rPr>
        <w:t xml:space="preserve"> and</w:t>
      </w:r>
      <w:r w:rsidRPr="007A0799">
        <w:rPr>
          <w:rFonts w:cs="Tahoma"/>
          <w:sz w:val="22"/>
          <w:szCs w:val="22"/>
        </w:rPr>
        <w:t xml:space="preserve"> short period of time. The </w:t>
      </w:r>
      <w:r>
        <w:rPr>
          <w:rFonts w:cs="Tahoma"/>
          <w:sz w:val="22"/>
          <w:szCs w:val="22"/>
        </w:rPr>
        <w:t>colleague</w:t>
      </w:r>
      <w:r w:rsidRPr="007A0799">
        <w:rPr>
          <w:rFonts w:cs="Tahoma"/>
          <w:sz w:val="22"/>
          <w:szCs w:val="22"/>
        </w:rPr>
        <w:t xml:space="preserve"> shall be paid a temporary allowance as detailed in </w:t>
      </w:r>
      <w:r w:rsidRPr="007A0799">
        <w:rPr>
          <w:sz w:val="22"/>
          <w:szCs w:val="22"/>
        </w:rPr>
        <w:t xml:space="preserve">Extra Pay for Temporary Additional Duties Not Warranting Re-Grading Policy (available within Content server) </w:t>
      </w:r>
      <w:hyperlink r:id="rId12" w:history="1">
        <w:r w:rsidRPr="007A0799">
          <w:rPr>
            <w:rStyle w:val="Hyperlink"/>
            <w:sz w:val="22"/>
            <w:szCs w:val="22"/>
          </w:rPr>
          <w:t>Extra Pay for Temporary Additional Duties (barnardos.org.uk)</w:t>
        </w:r>
      </w:hyperlink>
    </w:p>
    <w:p w14:paraId="4C39E391" w14:textId="77777777" w:rsidR="00840D2D" w:rsidRPr="007A0799" w:rsidRDefault="00840D2D" w:rsidP="00840D2D">
      <w:pPr>
        <w:rPr>
          <w:sz w:val="22"/>
          <w:szCs w:val="22"/>
        </w:rPr>
      </w:pPr>
    </w:p>
    <w:p w14:paraId="63DBFD94" w14:textId="77777777" w:rsidR="00840D2D" w:rsidRPr="007A0799" w:rsidRDefault="00840D2D" w:rsidP="00840D2D">
      <w:pPr>
        <w:pStyle w:val="Heading1"/>
        <w:rPr>
          <w:sz w:val="22"/>
          <w:szCs w:val="22"/>
        </w:rPr>
      </w:pPr>
      <w:r w:rsidRPr="007A0799">
        <w:rPr>
          <w:rStyle w:val="Emphasis"/>
          <w:sz w:val="22"/>
          <w:szCs w:val="22"/>
        </w:rPr>
        <w:t>Scope</w:t>
      </w:r>
    </w:p>
    <w:p w14:paraId="099BF0AF" w14:textId="77777777" w:rsidR="00840D2D" w:rsidRPr="00606F86" w:rsidRDefault="00840D2D" w:rsidP="00840D2D">
      <w:pPr>
        <w:rPr>
          <w:sz w:val="22"/>
          <w:szCs w:val="22"/>
        </w:rPr>
      </w:pPr>
      <w:r w:rsidRPr="007A0799">
        <w:rPr>
          <w:sz w:val="22"/>
          <w:szCs w:val="22"/>
        </w:rPr>
        <w:t>This policy applies when a</w:t>
      </w:r>
      <w:r>
        <w:rPr>
          <w:sz w:val="22"/>
          <w:szCs w:val="22"/>
        </w:rPr>
        <w:t xml:space="preserve"> colleague</w:t>
      </w:r>
      <w:r w:rsidRPr="007A0799">
        <w:rPr>
          <w:sz w:val="22"/>
          <w:szCs w:val="22"/>
        </w:rPr>
        <w:t xml:space="preserve"> undertakes the duties and responsibilities of a higher graded post for a continuous period of at least 4 weeks.  It does not apply to an increase in workload where a</w:t>
      </w:r>
      <w:r>
        <w:rPr>
          <w:sz w:val="22"/>
          <w:szCs w:val="22"/>
        </w:rPr>
        <w:t xml:space="preserve"> colleague </w:t>
      </w:r>
      <w:r w:rsidRPr="007A0799">
        <w:rPr>
          <w:sz w:val="22"/>
          <w:szCs w:val="22"/>
        </w:rPr>
        <w:t>assumes additional duties in the absence of a senior.</w:t>
      </w:r>
      <w:r>
        <w:rPr>
          <w:sz w:val="22"/>
          <w:szCs w:val="22"/>
        </w:rPr>
        <w:t xml:space="preserve">  </w:t>
      </w:r>
      <w:r w:rsidRPr="00606F86">
        <w:rPr>
          <w:sz w:val="22"/>
          <w:szCs w:val="22"/>
        </w:rPr>
        <w:t>Please refer to</w:t>
      </w:r>
      <w:r>
        <w:rPr>
          <w:sz w:val="22"/>
          <w:szCs w:val="22"/>
        </w:rPr>
        <w:t xml:space="preserve"> Extra Pay for </w:t>
      </w:r>
      <w:r w:rsidRPr="007A0799">
        <w:rPr>
          <w:sz w:val="22"/>
          <w:szCs w:val="22"/>
        </w:rPr>
        <w:t xml:space="preserve">Temporary Additional Duties </w:t>
      </w:r>
      <w:r>
        <w:rPr>
          <w:sz w:val="22"/>
          <w:szCs w:val="22"/>
        </w:rPr>
        <w:t xml:space="preserve">Not Warranting Re-Grading </w:t>
      </w:r>
      <w:r w:rsidRPr="007A0799">
        <w:rPr>
          <w:sz w:val="22"/>
          <w:szCs w:val="22"/>
        </w:rPr>
        <w:t xml:space="preserve">Policy </w:t>
      </w:r>
      <w:r w:rsidRPr="00606F86">
        <w:rPr>
          <w:sz w:val="22"/>
          <w:szCs w:val="22"/>
        </w:rPr>
        <w:t>for further details.</w:t>
      </w:r>
    </w:p>
    <w:p w14:paraId="3E6D1BDA" w14:textId="77777777" w:rsidR="00840D2D" w:rsidRPr="007A0799" w:rsidRDefault="00840D2D" w:rsidP="00840D2D">
      <w:pPr>
        <w:pStyle w:val="Heading1"/>
        <w:rPr>
          <w:bCs w:val="0"/>
          <w:kern w:val="0"/>
          <w:sz w:val="22"/>
          <w:szCs w:val="22"/>
        </w:rPr>
      </w:pPr>
      <w:r w:rsidRPr="007A0799">
        <w:rPr>
          <w:b/>
          <w:bCs w:val="0"/>
          <w:iCs/>
          <w:kern w:val="0"/>
          <w:sz w:val="22"/>
          <w:szCs w:val="22"/>
        </w:rPr>
        <w:t>Procedure</w:t>
      </w:r>
    </w:p>
    <w:p w14:paraId="7AD24F76" w14:textId="77777777" w:rsidR="00840D2D" w:rsidRPr="00606F86" w:rsidRDefault="00840D2D" w:rsidP="0049403E">
      <w:pPr>
        <w:numPr>
          <w:ilvl w:val="0"/>
          <w:numId w:val="4"/>
        </w:numPr>
        <w:tabs>
          <w:tab w:val="num" w:pos="0"/>
        </w:tabs>
        <w:ind w:left="360"/>
        <w:rPr>
          <w:sz w:val="22"/>
          <w:szCs w:val="22"/>
        </w:rPr>
      </w:pPr>
      <w:r w:rsidRPr="00606F86">
        <w:rPr>
          <w:rFonts w:cs="Tahoma"/>
          <w:sz w:val="22"/>
          <w:szCs w:val="22"/>
        </w:rPr>
        <w:t>At the outset, the manager must clearly identify the objectives</w:t>
      </w:r>
      <w:r>
        <w:rPr>
          <w:rFonts w:cs="Tahoma"/>
          <w:sz w:val="22"/>
          <w:szCs w:val="22"/>
        </w:rPr>
        <w:t xml:space="preserve"> (goals)</w:t>
      </w:r>
      <w:r w:rsidRPr="00606F86">
        <w:rPr>
          <w:rFonts w:cs="Tahoma"/>
          <w:sz w:val="22"/>
          <w:szCs w:val="22"/>
        </w:rPr>
        <w:t xml:space="preserve"> and requirements of the period of acting up, as well as replacement costs (to cover the </w:t>
      </w:r>
      <w:r>
        <w:rPr>
          <w:rFonts w:cs="Tahoma"/>
          <w:sz w:val="22"/>
          <w:szCs w:val="22"/>
        </w:rPr>
        <w:t>colleague’s</w:t>
      </w:r>
      <w:r w:rsidRPr="00606F86">
        <w:rPr>
          <w:rFonts w:cs="Tahoma"/>
          <w:sz w:val="22"/>
          <w:szCs w:val="22"/>
        </w:rPr>
        <w:t xml:space="preserve"> current position). Other options e.g.</w:t>
      </w:r>
      <w:r>
        <w:rPr>
          <w:rFonts w:cs="Tahoma"/>
          <w:sz w:val="22"/>
          <w:szCs w:val="22"/>
        </w:rPr>
        <w:t>,</w:t>
      </w:r>
      <w:r w:rsidRPr="00606F86">
        <w:rPr>
          <w:rFonts w:cs="Tahoma"/>
          <w:sz w:val="22"/>
          <w:szCs w:val="22"/>
        </w:rPr>
        <w:t xml:space="preserve"> temporary replacement, secondment, should also be considered.</w:t>
      </w:r>
      <w:r w:rsidRPr="00606F86">
        <w:rPr>
          <w:rFonts w:cs="Tahoma"/>
          <w:color w:val="FF0000"/>
          <w:sz w:val="22"/>
          <w:szCs w:val="22"/>
        </w:rPr>
        <w:t xml:space="preserve"> </w:t>
      </w:r>
      <w:r w:rsidRPr="00606F86">
        <w:rPr>
          <w:rFonts w:cs="Tahoma"/>
          <w:color w:val="FF0000"/>
          <w:sz w:val="22"/>
          <w:szCs w:val="22"/>
        </w:rPr>
        <w:br/>
      </w:r>
    </w:p>
    <w:p w14:paraId="713F56D4" w14:textId="77777777" w:rsidR="00840D2D" w:rsidRPr="00606F86" w:rsidRDefault="00840D2D" w:rsidP="0049403E">
      <w:pPr>
        <w:numPr>
          <w:ilvl w:val="0"/>
          <w:numId w:val="4"/>
        </w:numPr>
        <w:tabs>
          <w:tab w:val="num" w:pos="0"/>
        </w:tabs>
        <w:ind w:left="360"/>
        <w:rPr>
          <w:sz w:val="22"/>
          <w:szCs w:val="22"/>
        </w:rPr>
      </w:pPr>
      <w:r w:rsidRPr="00606F86">
        <w:rPr>
          <w:rFonts w:cs="Tahoma"/>
          <w:sz w:val="22"/>
          <w:szCs w:val="22"/>
        </w:rPr>
        <w:t xml:space="preserve">Any proposal to create an acting up opportunity is subject to </w:t>
      </w:r>
      <w:r>
        <w:rPr>
          <w:rFonts w:cs="Tahoma"/>
          <w:sz w:val="22"/>
          <w:szCs w:val="22"/>
        </w:rPr>
        <w:t>the</w:t>
      </w:r>
      <w:r w:rsidRPr="00606F86">
        <w:rPr>
          <w:rFonts w:cs="Tahoma"/>
          <w:sz w:val="22"/>
          <w:szCs w:val="22"/>
        </w:rPr>
        <w:t xml:space="preserve"> line manager</w:t>
      </w:r>
      <w:r>
        <w:rPr>
          <w:rFonts w:cs="Tahoma"/>
          <w:sz w:val="22"/>
          <w:szCs w:val="22"/>
        </w:rPr>
        <w:t>’s manager</w:t>
      </w:r>
      <w:r w:rsidRPr="00606F86">
        <w:rPr>
          <w:rFonts w:cs="Tahoma"/>
          <w:sz w:val="22"/>
          <w:szCs w:val="22"/>
        </w:rPr>
        <w:t xml:space="preserve"> approval. </w:t>
      </w:r>
    </w:p>
    <w:p w14:paraId="25F2F1B0" w14:textId="77777777" w:rsidR="00840D2D" w:rsidRPr="00606F86" w:rsidRDefault="00840D2D" w:rsidP="0049403E">
      <w:pPr>
        <w:rPr>
          <w:sz w:val="22"/>
          <w:szCs w:val="22"/>
        </w:rPr>
      </w:pPr>
    </w:p>
    <w:p w14:paraId="742EAB5A" w14:textId="77777777" w:rsidR="00840D2D" w:rsidRPr="00606F86" w:rsidRDefault="00840D2D" w:rsidP="0049403E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sz w:val="22"/>
          <w:szCs w:val="22"/>
        </w:rPr>
      </w:pPr>
      <w:r w:rsidRPr="00606F86">
        <w:rPr>
          <w:sz w:val="22"/>
          <w:szCs w:val="22"/>
        </w:rPr>
        <w:lastRenderedPageBreak/>
        <w:t xml:space="preserve">Whilst the preferred course of action is </w:t>
      </w:r>
      <w:r w:rsidRPr="00606F86">
        <w:rPr>
          <w:color w:val="000000"/>
          <w:sz w:val="22"/>
          <w:szCs w:val="22"/>
        </w:rPr>
        <w:t xml:space="preserve">to </w:t>
      </w:r>
      <w:r w:rsidRPr="00606F86">
        <w:rPr>
          <w:sz w:val="22"/>
          <w:szCs w:val="22"/>
        </w:rPr>
        <w:t xml:space="preserve">inform the team of the acting-up post and invite applications, </w:t>
      </w:r>
      <w:r w:rsidRPr="00606F86">
        <w:rPr>
          <w:color w:val="000000"/>
          <w:sz w:val="22"/>
          <w:szCs w:val="22"/>
        </w:rPr>
        <w:t>there may be occasions where this is not possible e.g</w:t>
      </w:r>
      <w:r w:rsidRPr="00606F86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606F86">
        <w:rPr>
          <w:sz w:val="22"/>
          <w:szCs w:val="22"/>
        </w:rPr>
        <w:t>sudden illness of a colleague, immediate cover is required for business reasons, specialist skills/knowledge required.</w:t>
      </w:r>
      <w:r w:rsidRPr="00606F86">
        <w:rPr>
          <w:sz w:val="22"/>
          <w:szCs w:val="22"/>
        </w:rPr>
        <w:br/>
      </w:r>
    </w:p>
    <w:p w14:paraId="3D70814C" w14:textId="77777777" w:rsidR="00840D2D" w:rsidRPr="00606F86" w:rsidRDefault="00840D2D" w:rsidP="0049403E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sz w:val="22"/>
          <w:szCs w:val="22"/>
        </w:rPr>
      </w:pPr>
      <w:r w:rsidRPr="00606F86">
        <w:rPr>
          <w:sz w:val="22"/>
          <w:szCs w:val="22"/>
        </w:rPr>
        <w:t xml:space="preserve">Where there is a designated deputy for the post, they will in most circumstances be given the first opportunity to act up in the post. This is subject to satisfactory performance, qualifications and attendance/availability in their current role.  </w:t>
      </w:r>
      <w:r w:rsidRPr="00606F86">
        <w:rPr>
          <w:sz w:val="22"/>
          <w:szCs w:val="22"/>
        </w:rPr>
        <w:br/>
      </w:r>
    </w:p>
    <w:p w14:paraId="201D2624" w14:textId="77777777" w:rsidR="00840D2D" w:rsidRPr="00606F86" w:rsidRDefault="00840D2D" w:rsidP="0049403E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sz w:val="22"/>
          <w:szCs w:val="22"/>
        </w:rPr>
      </w:pPr>
      <w:r w:rsidRPr="00606F86">
        <w:rPr>
          <w:sz w:val="22"/>
          <w:szCs w:val="22"/>
        </w:rPr>
        <w:t xml:space="preserve">Where there is no designated deputy, the manager should assess the urgency of the acting up post and/or whether there is likely to be more than one capable </w:t>
      </w:r>
      <w:r>
        <w:rPr>
          <w:sz w:val="22"/>
          <w:szCs w:val="22"/>
        </w:rPr>
        <w:t>colleague</w:t>
      </w:r>
      <w:r w:rsidRPr="00606F86">
        <w:rPr>
          <w:sz w:val="22"/>
          <w:szCs w:val="22"/>
        </w:rPr>
        <w:t xml:space="preserve"> with</w:t>
      </w:r>
      <w:r>
        <w:rPr>
          <w:sz w:val="22"/>
          <w:szCs w:val="22"/>
        </w:rPr>
        <w:t>in</w:t>
      </w:r>
      <w:r w:rsidRPr="00606F86">
        <w:rPr>
          <w:sz w:val="22"/>
          <w:szCs w:val="22"/>
        </w:rPr>
        <w:t xml:space="preserve"> the team who might be interested in the opportunity. </w:t>
      </w:r>
      <w:r w:rsidRPr="00606F86">
        <w:rPr>
          <w:sz w:val="22"/>
          <w:szCs w:val="22"/>
        </w:rPr>
        <w:br/>
      </w:r>
    </w:p>
    <w:p w14:paraId="194CEB47" w14:textId="77777777" w:rsidR="00840D2D" w:rsidRPr="00606F86" w:rsidRDefault="00840D2D" w:rsidP="0049403E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sz w:val="22"/>
          <w:szCs w:val="22"/>
        </w:rPr>
      </w:pPr>
      <w:r w:rsidRPr="00606F86">
        <w:rPr>
          <w:sz w:val="22"/>
          <w:szCs w:val="22"/>
        </w:rPr>
        <w:t>After considering all the circumstances and seeking advice from the People Team as required, the manager must decide the appropriate course of action as follows:</w:t>
      </w:r>
    </w:p>
    <w:p w14:paraId="36EABF1C" w14:textId="77777777" w:rsidR="00840D2D" w:rsidRPr="00606F86" w:rsidRDefault="00840D2D" w:rsidP="0049403E">
      <w:pPr>
        <w:rPr>
          <w:sz w:val="22"/>
          <w:szCs w:val="22"/>
        </w:rPr>
      </w:pPr>
    </w:p>
    <w:p w14:paraId="66B2777A" w14:textId="77777777" w:rsidR="00840D2D" w:rsidRDefault="00840D2D" w:rsidP="0049403E">
      <w:pPr>
        <w:numPr>
          <w:ilvl w:val="0"/>
          <w:numId w:val="5"/>
        </w:numPr>
        <w:ind w:left="1080"/>
        <w:rPr>
          <w:sz w:val="22"/>
          <w:szCs w:val="22"/>
        </w:rPr>
      </w:pPr>
      <w:r w:rsidRPr="00606F86">
        <w:rPr>
          <w:sz w:val="22"/>
          <w:szCs w:val="22"/>
        </w:rPr>
        <w:t>Wherever possible, inform the team of the acting up post available and</w:t>
      </w:r>
      <w:r>
        <w:rPr>
          <w:sz w:val="22"/>
          <w:szCs w:val="22"/>
        </w:rPr>
        <w:t xml:space="preserve"> </w:t>
      </w:r>
      <w:r w:rsidRPr="00606F86">
        <w:rPr>
          <w:sz w:val="22"/>
          <w:szCs w:val="22"/>
        </w:rPr>
        <w:t xml:space="preserve">invite applications and arrange a short-listing and interview process. </w:t>
      </w:r>
    </w:p>
    <w:p w14:paraId="679E6925" w14:textId="77777777" w:rsidR="00840D2D" w:rsidRPr="00606F86" w:rsidRDefault="00840D2D" w:rsidP="0049403E">
      <w:pPr>
        <w:ind w:left="1080"/>
        <w:rPr>
          <w:sz w:val="22"/>
          <w:szCs w:val="22"/>
        </w:rPr>
      </w:pPr>
    </w:p>
    <w:p w14:paraId="4334AAE0" w14:textId="77777777" w:rsidR="00840D2D" w:rsidRDefault="00840D2D" w:rsidP="0049403E">
      <w:pPr>
        <w:ind w:left="1080"/>
        <w:rPr>
          <w:sz w:val="22"/>
          <w:szCs w:val="22"/>
        </w:rPr>
      </w:pPr>
      <w:r w:rsidRPr="00606F86">
        <w:rPr>
          <w:sz w:val="22"/>
          <w:szCs w:val="22"/>
        </w:rPr>
        <w:t>Notify team members who are temporarily absent from the</w:t>
      </w:r>
      <w:r>
        <w:rPr>
          <w:sz w:val="22"/>
          <w:szCs w:val="22"/>
        </w:rPr>
        <w:t xml:space="preserve"> </w:t>
      </w:r>
      <w:r w:rsidRPr="00606F86">
        <w:rPr>
          <w:sz w:val="22"/>
          <w:szCs w:val="22"/>
        </w:rPr>
        <w:t xml:space="preserve">workplace of </w:t>
      </w:r>
      <w:r>
        <w:rPr>
          <w:sz w:val="22"/>
          <w:szCs w:val="22"/>
        </w:rPr>
        <w:t xml:space="preserve">the </w:t>
      </w:r>
      <w:r w:rsidRPr="00606F86">
        <w:rPr>
          <w:sz w:val="22"/>
          <w:szCs w:val="22"/>
        </w:rPr>
        <w:t>acting up opportunit</w:t>
      </w:r>
      <w:r>
        <w:rPr>
          <w:sz w:val="22"/>
          <w:szCs w:val="22"/>
        </w:rPr>
        <w:t>y</w:t>
      </w:r>
      <w:r w:rsidRPr="00606F86">
        <w:rPr>
          <w:sz w:val="22"/>
          <w:szCs w:val="22"/>
        </w:rPr>
        <w:t xml:space="preserve"> e.g</w:t>
      </w:r>
      <w:r>
        <w:rPr>
          <w:sz w:val="22"/>
          <w:szCs w:val="22"/>
        </w:rPr>
        <w:t xml:space="preserve">., </w:t>
      </w:r>
      <w:r w:rsidRPr="00606F86">
        <w:rPr>
          <w:sz w:val="22"/>
          <w:szCs w:val="22"/>
        </w:rPr>
        <w:t>maternity</w:t>
      </w:r>
      <w:r>
        <w:rPr>
          <w:sz w:val="22"/>
          <w:szCs w:val="22"/>
        </w:rPr>
        <w:t xml:space="preserve">/ adoption </w:t>
      </w:r>
      <w:r w:rsidRPr="00606F86">
        <w:rPr>
          <w:sz w:val="22"/>
          <w:szCs w:val="22"/>
        </w:rPr>
        <w:t>leave, extended unpaid</w:t>
      </w:r>
      <w:r>
        <w:rPr>
          <w:sz w:val="22"/>
          <w:szCs w:val="22"/>
        </w:rPr>
        <w:t xml:space="preserve"> </w:t>
      </w:r>
      <w:r w:rsidRPr="00606F86">
        <w:rPr>
          <w:sz w:val="22"/>
          <w:szCs w:val="22"/>
        </w:rPr>
        <w:t xml:space="preserve">leave. </w:t>
      </w:r>
      <w:r w:rsidRPr="00606F86">
        <w:rPr>
          <w:sz w:val="22"/>
          <w:szCs w:val="22"/>
        </w:rPr>
        <w:br/>
      </w:r>
    </w:p>
    <w:p w14:paraId="73598562" w14:textId="77777777" w:rsidR="0049403E" w:rsidRDefault="00840D2D" w:rsidP="0049403E">
      <w:pPr>
        <w:ind w:left="1080"/>
        <w:rPr>
          <w:sz w:val="22"/>
          <w:szCs w:val="22"/>
        </w:rPr>
      </w:pPr>
      <w:r w:rsidRPr="00606F86">
        <w:rPr>
          <w:sz w:val="22"/>
          <w:szCs w:val="22"/>
        </w:rPr>
        <w:t xml:space="preserve">Consideration should be given to </w:t>
      </w:r>
      <w:r>
        <w:rPr>
          <w:sz w:val="22"/>
          <w:szCs w:val="22"/>
        </w:rPr>
        <w:t>colleagues</w:t>
      </w:r>
      <w:r w:rsidRPr="00606F86">
        <w:rPr>
          <w:sz w:val="22"/>
          <w:szCs w:val="22"/>
        </w:rPr>
        <w:t xml:space="preserve"> on maternity</w:t>
      </w:r>
      <w:r>
        <w:rPr>
          <w:sz w:val="22"/>
          <w:szCs w:val="22"/>
        </w:rPr>
        <w:t>/adoption</w:t>
      </w:r>
      <w:r w:rsidRPr="00606F86">
        <w:rPr>
          <w:sz w:val="22"/>
          <w:szCs w:val="22"/>
        </w:rPr>
        <w:t xml:space="preserve"> leave,</w:t>
      </w:r>
      <w:r>
        <w:rPr>
          <w:sz w:val="22"/>
          <w:szCs w:val="22"/>
        </w:rPr>
        <w:t xml:space="preserve"> </w:t>
      </w:r>
      <w:r w:rsidRPr="00606F86">
        <w:rPr>
          <w:sz w:val="22"/>
          <w:szCs w:val="22"/>
        </w:rPr>
        <w:t>extended leave etc if they were to be available to take up the acting up</w:t>
      </w:r>
      <w:r>
        <w:rPr>
          <w:sz w:val="22"/>
          <w:szCs w:val="22"/>
        </w:rPr>
        <w:t xml:space="preserve"> </w:t>
      </w:r>
      <w:r w:rsidRPr="00606F86">
        <w:rPr>
          <w:sz w:val="22"/>
          <w:szCs w:val="22"/>
        </w:rPr>
        <w:t xml:space="preserve">post within the anticipated duration of the assignment.  </w:t>
      </w:r>
    </w:p>
    <w:p w14:paraId="745B28D2" w14:textId="77777777" w:rsidR="0049403E" w:rsidRDefault="0049403E" w:rsidP="0049403E">
      <w:pPr>
        <w:ind w:left="1080"/>
        <w:rPr>
          <w:sz w:val="22"/>
          <w:szCs w:val="22"/>
        </w:rPr>
      </w:pPr>
    </w:p>
    <w:p w14:paraId="26407736" w14:textId="4C5F054D" w:rsidR="00840D2D" w:rsidRPr="0049403E" w:rsidRDefault="00840D2D" w:rsidP="0049403E">
      <w:pPr>
        <w:ind w:left="1080"/>
        <w:rPr>
          <w:sz w:val="22"/>
          <w:szCs w:val="22"/>
        </w:rPr>
      </w:pPr>
      <w:r w:rsidRPr="00606F86">
        <w:rPr>
          <w:sz w:val="22"/>
          <w:szCs w:val="22"/>
        </w:rPr>
        <w:t>OR</w:t>
      </w:r>
      <w:r w:rsidRPr="00606F86">
        <w:rPr>
          <w:sz w:val="22"/>
          <w:szCs w:val="22"/>
        </w:rPr>
        <w:br/>
      </w:r>
    </w:p>
    <w:p w14:paraId="122A20FF" w14:textId="77777777" w:rsidR="00840D2D" w:rsidRPr="00606F86" w:rsidRDefault="00840D2D" w:rsidP="0049403E">
      <w:pPr>
        <w:numPr>
          <w:ilvl w:val="0"/>
          <w:numId w:val="5"/>
        </w:numPr>
        <w:tabs>
          <w:tab w:val="left" w:pos="1260"/>
        </w:tabs>
        <w:ind w:left="1080"/>
        <w:rPr>
          <w:sz w:val="22"/>
          <w:szCs w:val="22"/>
        </w:rPr>
      </w:pPr>
      <w:r w:rsidRPr="00606F86">
        <w:rPr>
          <w:sz w:val="22"/>
          <w:szCs w:val="22"/>
        </w:rPr>
        <w:t>Select a</w:t>
      </w:r>
      <w:r>
        <w:rPr>
          <w:sz w:val="22"/>
          <w:szCs w:val="22"/>
        </w:rPr>
        <w:t xml:space="preserve"> colleague </w:t>
      </w:r>
      <w:r w:rsidRPr="00606F86">
        <w:rPr>
          <w:sz w:val="22"/>
          <w:szCs w:val="22"/>
        </w:rPr>
        <w:t xml:space="preserve">based on their objective assessment of the individual’s ability to undertake the post. </w:t>
      </w:r>
    </w:p>
    <w:p w14:paraId="754089F6" w14:textId="77777777" w:rsidR="00840D2D" w:rsidRDefault="00840D2D" w:rsidP="0049403E">
      <w:pPr>
        <w:tabs>
          <w:tab w:val="left" w:pos="1260"/>
        </w:tabs>
        <w:ind w:left="360" w:hanging="540"/>
        <w:rPr>
          <w:sz w:val="22"/>
          <w:szCs w:val="22"/>
        </w:rPr>
      </w:pPr>
      <w:r w:rsidRPr="00606F86">
        <w:rPr>
          <w:sz w:val="22"/>
          <w:szCs w:val="22"/>
        </w:rPr>
        <w:tab/>
      </w:r>
    </w:p>
    <w:p w14:paraId="47F98C77" w14:textId="48D8BC61" w:rsidR="00840D2D" w:rsidRDefault="00840D2D" w:rsidP="0049403E">
      <w:pPr>
        <w:tabs>
          <w:tab w:val="left" w:pos="1260"/>
        </w:tabs>
        <w:ind w:left="1080" w:hanging="1260"/>
        <w:rPr>
          <w:sz w:val="22"/>
          <w:szCs w:val="22"/>
        </w:rPr>
      </w:pPr>
      <w:r>
        <w:rPr>
          <w:sz w:val="22"/>
          <w:szCs w:val="22"/>
        </w:rPr>
        <w:tab/>
      </w:r>
      <w:r w:rsidRPr="00606F86">
        <w:rPr>
          <w:sz w:val="22"/>
          <w:szCs w:val="22"/>
        </w:rPr>
        <w:t xml:space="preserve">The manager should discuss this with the People Team and </w:t>
      </w:r>
      <w:r>
        <w:rPr>
          <w:sz w:val="22"/>
          <w:szCs w:val="22"/>
        </w:rPr>
        <w:t xml:space="preserve">evaluate the colleague’s </w:t>
      </w:r>
      <w:r w:rsidRPr="00606F86">
        <w:rPr>
          <w:sz w:val="22"/>
          <w:szCs w:val="22"/>
        </w:rPr>
        <w:t xml:space="preserve">ability to undertake the post, based on the skills and/or experience and/or qualifications needed. </w:t>
      </w:r>
    </w:p>
    <w:p w14:paraId="4B8E92DD" w14:textId="77777777" w:rsidR="00840D2D" w:rsidRPr="00606F86" w:rsidRDefault="00840D2D" w:rsidP="0049403E">
      <w:pPr>
        <w:tabs>
          <w:tab w:val="left" w:pos="1260"/>
        </w:tabs>
        <w:ind w:left="1080" w:hanging="1260"/>
        <w:rPr>
          <w:sz w:val="22"/>
          <w:szCs w:val="22"/>
        </w:rPr>
      </w:pPr>
    </w:p>
    <w:p w14:paraId="37A4F5C3" w14:textId="77777777" w:rsidR="00840D2D" w:rsidRPr="00606F86" w:rsidRDefault="00840D2D" w:rsidP="0049403E">
      <w:pPr>
        <w:tabs>
          <w:tab w:val="left" w:pos="1260"/>
        </w:tabs>
        <w:ind w:left="1080" w:hanging="900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606F86">
        <w:rPr>
          <w:sz w:val="22"/>
          <w:szCs w:val="22"/>
        </w:rPr>
        <w:t>A fo</w:t>
      </w:r>
      <w:r w:rsidRPr="00606F86">
        <w:rPr>
          <w:color w:val="000000"/>
          <w:sz w:val="22"/>
          <w:szCs w:val="22"/>
        </w:rPr>
        <w:t xml:space="preserve">rmal interview may not be required in this situation; the manager should meet with the </w:t>
      </w:r>
      <w:r>
        <w:rPr>
          <w:color w:val="000000"/>
          <w:sz w:val="22"/>
          <w:szCs w:val="22"/>
        </w:rPr>
        <w:t>colleague</w:t>
      </w:r>
      <w:r w:rsidRPr="00606F86">
        <w:rPr>
          <w:color w:val="000000"/>
          <w:sz w:val="22"/>
          <w:szCs w:val="22"/>
        </w:rPr>
        <w:t xml:space="preserve"> to ensure they are clear about the remit of the post and expectations and record their decision making </w:t>
      </w:r>
      <w:r>
        <w:rPr>
          <w:color w:val="000000"/>
          <w:sz w:val="22"/>
          <w:szCs w:val="22"/>
        </w:rPr>
        <w:t>etc on the colleague’s electronic staff file (ESF).</w:t>
      </w:r>
      <w:r w:rsidRPr="00606F86">
        <w:rPr>
          <w:color w:val="000000"/>
          <w:sz w:val="22"/>
          <w:szCs w:val="22"/>
        </w:rPr>
        <w:t xml:space="preserve"> </w:t>
      </w:r>
      <w:r w:rsidRPr="00606F86">
        <w:rPr>
          <w:color w:val="000000"/>
          <w:sz w:val="22"/>
          <w:szCs w:val="22"/>
        </w:rPr>
        <w:br/>
      </w:r>
    </w:p>
    <w:p w14:paraId="4E750CA3" w14:textId="77777777" w:rsidR="00840D2D" w:rsidRPr="00E8111B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E8111B">
        <w:rPr>
          <w:sz w:val="22"/>
          <w:szCs w:val="22"/>
        </w:rPr>
        <w:t xml:space="preserve">Before the acting up arrangement starts, the manager is responsible for ensuring that all relevant checks/codes as required have been undertaken/are up to date in respect of the </w:t>
      </w:r>
      <w:r>
        <w:rPr>
          <w:sz w:val="22"/>
          <w:szCs w:val="22"/>
        </w:rPr>
        <w:t>colleague</w:t>
      </w:r>
      <w:r w:rsidRPr="00E8111B">
        <w:rPr>
          <w:sz w:val="22"/>
          <w:szCs w:val="22"/>
        </w:rPr>
        <w:t xml:space="preserve"> e.g. Barnardo’s Safeguarding Code of Conduct  </w:t>
      </w:r>
      <w:hyperlink r:id="rId13" w:history="1">
        <w:r w:rsidRPr="00E8111B">
          <w:rPr>
            <w:rStyle w:val="Hyperlink"/>
          </w:rPr>
          <w:t>Safeguarding code of conduct | Inside Barnardos</w:t>
        </w:r>
      </w:hyperlink>
      <w:r w:rsidRPr="00E8111B">
        <w:rPr>
          <w:color w:val="000000"/>
          <w:sz w:val="22"/>
          <w:szCs w:val="22"/>
        </w:rPr>
        <w:t xml:space="preserve">, </w:t>
      </w:r>
      <w:r w:rsidRPr="00E8111B">
        <w:rPr>
          <w:sz w:val="22"/>
          <w:szCs w:val="22"/>
        </w:rPr>
        <w:t xml:space="preserve">references, Disclosure check, professional registration.  Please seek advice from </w:t>
      </w:r>
      <w:r>
        <w:rPr>
          <w:sz w:val="22"/>
          <w:szCs w:val="22"/>
        </w:rPr>
        <w:t>the</w:t>
      </w:r>
      <w:r w:rsidRPr="00E8111B">
        <w:rPr>
          <w:sz w:val="22"/>
          <w:szCs w:val="22"/>
        </w:rPr>
        <w:t xml:space="preserve"> People Team if required.</w:t>
      </w:r>
    </w:p>
    <w:p w14:paraId="7B729809" w14:textId="77777777" w:rsidR="00840D2D" w:rsidRPr="00E8111B" w:rsidRDefault="00840D2D" w:rsidP="00840D2D">
      <w:pPr>
        <w:tabs>
          <w:tab w:val="num" w:pos="3960"/>
        </w:tabs>
        <w:ind w:left="720"/>
        <w:rPr>
          <w:sz w:val="22"/>
          <w:szCs w:val="22"/>
        </w:rPr>
      </w:pPr>
    </w:p>
    <w:p w14:paraId="763F94C4" w14:textId="77777777" w:rsidR="00840D2D" w:rsidRPr="00606F86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606F86">
        <w:rPr>
          <w:sz w:val="22"/>
          <w:szCs w:val="22"/>
        </w:rPr>
        <w:t xml:space="preserve">The manager must confirm the acting up arrangement in writing to the </w:t>
      </w:r>
      <w:r>
        <w:rPr>
          <w:sz w:val="22"/>
          <w:szCs w:val="22"/>
        </w:rPr>
        <w:t>colleague</w:t>
      </w:r>
      <w:r w:rsidRPr="00606F86">
        <w:rPr>
          <w:sz w:val="22"/>
          <w:szCs w:val="22"/>
        </w:rPr>
        <w:t xml:space="preserve"> using the </w:t>
      </w:r>
      <w:r w:rsidRPr="00B970F8">
        <w:rPr>
          <w:sz w:val="22"/>
          <w:szCs w:val="22"/>
        </w:rPr>
        <w:t>template</w:t>
      </w:r>
      <w:r w:rsidRPr="00606F86">
        <w:rPr>
          <w:sz w:val="22"/>
          <w:szCs w:val="22"/>
        </w:rPr>
        <w:t xml:space="preserve"> letter </w:t>
      </w:r>
      <w:r>
        <w:rPr>
          <w:sz w:val="22"/>
          <w:szCs w:val="22"/>
        </w:rPr>
        <w:t>available from the People Team</w:t>
      </w:r>
      <w:r w:rsidRPr="00606F86">
        <w:rPr>
          <w:sz w:val="22"/>
          <w:szCs w:val="22"/>
        </w:rPr>
        <w:t xml:space="preserve">. </w:t>
      </w:r>
    </w:p>
    <w:p w14:paraId="003B1B05" w14:textId="77777777" w:rsidR="00840D2D" w:rsidRPr="00606F86" w:rsidRDefault="00840D2D" w:rsidP="00840D2D">
      <w:pPr>
        <w:ind w:left="360"/>
        <w:rPr>
          <w:sz w:val="22"/>
          <w:szCs w:val="22"/>
        </w:rPr>
      </w:pPr>
    </w:p>
    <w:p w14:paraId="76882D02" w14:textId="77777777" w:rsidR="00840D2D" w:rsidRPr="00606F86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606F86">
        <w:rPr>
          <w:sz w:val="22"/>
          <w:szCs w:val="22"/>
        </w:rPr>
        <w:t xml:space="preserve">The manager must ensure that the temporary changes are recorded </w:t>
      </w:r>
      <w:r>
        <w:rPr>
          <w:sz w:val="22"/>
          <w:szCs w:val="22"/>
        </w:rPr>
        <w:t>appropriately on the HR system.</w:t>
      </w:r>
      <w:r w:rsidRPr="00606F86">
        <w:rPr>
          <w:sz w:val="22"/>
          <w:szCs w:val="22"/>
        </w:rPr>
        <w:t xml:space="preserve"> </w:t>
      </w:r>
    </w:p>
    <w:p w14:paraId="6133ADA5" w14:textId="77777777" w:rsidR="00840D2D" w:rsidRPr="00606F86" w:rsidRDefault="00840D2D" w:rsidP="00840D2D">
      <w:pPr>
        <w:rPr>
          <w:sz w:val="22"/>
          <w:szCs w:val="22"/>
        </w:rPr>
      </w:pPr>
    </w:p>
    <w:p w14:paraId="16998E34" w14:textId="77777777" w:rsidR="00840D2D" w:rsidRPr="00606F86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606F86">
        <w:rPr>
          <w:sz w:val="22"/>
          <w:szCs w:val="22"/>
        </w:rPr>
        <w:lastRenderedPageBreak/>
        <w:t xml:space="preserve">The manager should organise an appropriate induction and training (if required) and clarify with the </w:t>
      </w:r>
      <w:r>
        <w:rPr>
          <w:sz w:val="22"/>
          <w:szCs w:val="22"/>
        </w:rPr>
        <w:t>colleague</w:t>
      </w:r>
      <w:r w:rsidRPr="00606F86">
        <w:rPr>
          <w:sz w:val="22"/>
          <w:szCs w:val="22"/>
        </w:rPr>
        <w:t xml:space="preserve"> the expectations of the post and set objectives</w:t>
      </w:r>
      <w:r>
        <w:rPr>
          <w:sz w:val="22"/>
          <w:szCs w:val="22"/>
        </w:rPr>
        <w:t xml:space="preserve"> (goals)</w:t>
      </w:r>
      <w:r w:rsidRPr="00606F86">
        <w:rPr>
          <w:sz w:val="22"/>
          <w:szCs w:val="22"/>
        </w:rPr>
        <w:t>.</w:t>
      </w:r>
    </w:p>
    <w:p w14:paraId="1BF10CA7" w14:textId="77777777" w:rsidR="00840D2D" w:rsidRPr="00606F86" w:rsidRDefault="00840D2D" w:rsidP="00840D2D">
      <w:pPr>
        <w:rPr>
          <w:sz w:val="22"/>
          <w:szCs w:val="22"/>
        </w:rPr>
      </w:pPr>
    </w:p>
    <w:p w14:paraId="097F1925" w14:textId="77777777" w:rsidR="00840D2D" w:rsidRPr="00606F86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606F86">
        <w:rPr>
          <w:sz w:val="22"/>
          <w:szCs w:val="22"/>
        </w:rPr>
        <w:t>The manager should provide effective supervision</w:t>
      </w:r>
      <w:r>
        <w:rPr>
          <w:sz w:val="22"/>
          <w:szCs w:val="22"/>
        </w:rPr>
        <w:t>/colleague conversations/review meetings</w:t>
      </w:r>
      <w:r w:rsidRPr="00606F86">
        <w:rPr>
          <w:sz w:val="22"/>
          <w:szCs w:val="22"/>
        </w:rPr>
        <w:t xml:space="preserve"> for the </w:t>
      </w:r>
      <w:r>
        <w:rPr>
          <w:sz w:val="22"/>
          <w:szCs w:val="22"/>
        </w:rPr>
        <w:t>colleague</w:t>
      </w:r>
      <w:r w:rsidRPr="00606F86">
        <w:rPr>
          <w:sz w:val="22"/>
          <w:szCs w:val="22"/>
        </w:rPr>
        <w:t xml:space="preserve"> and regular opportunities to jointly </w:t>
      </w:r>
      <w:r>
        <w:rPr>
          <w:sz w:val="22"/>
          <w:szCs w:val="22"/>
        </w:rPr>
        <w:t>evaluate</w:t>
      </w:r>
      <w:r w:rsidRPr="00606F86">
        <w:rPr>
          <w:sz w:val="22"/>
          <w:szCs w:val="22"/>
        </w:rPr>
        <w:t xml:space="preserve"> the acting up arrangement (e.g</w:t>
      </w:r>
      <w:r>
        <w:rPr>
          <w:sz w:val="22"/>
          <w:szCs w:val="22"/>
        </w:rPr>
        <w:t>.,</w:t>
      </w:r>
      <w:r w:rsidRPr="00606F86">
        <w:rPr>
          <w:sz w:val="22"/>
          <w:szCs w:val="22"/>
        </w:rPr>
        <w:t xml:space="preserve"> at no less than at 8 weekly intervals).</w:t>
      </w:r>
    </w:p>
    <w:p w14:paraId="6BF455F0" w14:textId="77777777" w:rsidR="00840D2D" w:rsidRPr="00606F86" w:rsidRDefault="00840D2D" w:rsidP="00840D2D">
      <w:pPr>
        <w:rPr>
          <w:sz w:val="22"/>
          <w:szCs w:val="22"/>
        </w:rPr>
      </w:pPr>
    </w:p>
    <w:p w14:paraId="1791CC8E" w14:textId="77777777" w:rsidR="00840D2D" w:rsidRPr="00606F86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606F86">
        <w:rPr>
          <w:sz w:val="22"/>
          <w:szCs w:val="22"/>
        </w:rPr>
        <w:t xml:space="preserve">The manager should review the acting up arrangement at least 4 weeks before the proposed end date of the arrangement to clarify the handover </w:t>
      </w:r>
      <w:r>
        <w:rPr>
          <w:sz w:val="22"/>
          <w:szCs w:val="22"/>
        </w:rPr>
        <w:t>provisions</w:t>
      </w:r>
      <w:r w:rsidRPr="00606F86">
        <w:rPr>
          <w:sz w:val="22"/>
          <w:szCs w:val="22"/>
        </w:rPr>
        <w:t xml:space="preserve">.  </w:t>
      </w:r>
      <w:r w:rsidRPr="00606F86">
        <w:rPr>
          <w:sz w:val="22"/>
          <w:szCs w:val="22"/>
        </w:rPr>
        <w:br/>
      </w:r>
    </w:p>
    <w:p w14:paraId="4F611A82" w14:textId="77777777" w:rsidR="00840D2D" w:rsidRPr="00606F86" w:rsidRDefault="00840D2D" w:rsidP="00840D2D">
      <w:pPr>
        <w:numPr>
          <w:ilvl w:val="3"/>
          <w:numId w:val="3"/>
        </w:numPr>
        <w:tabs>
          <w:tab w:val="num" w:pos="720"/>
        </w:tabs>
        <w:ind w:left="720"/>
        <w:rPr>
          <w:sz w:val="22"/>
          <w:szCs w:val="22"/>
        </w:rPr>
      </w:pPr>
      <w:r w:rsidRPr="00606F86">
        <w:rPr>
          <w:sz w:val="22"/>
          <w:szCs w:val="22"/>
        </w:rPr>
        <w:t>Directors in Regions/Nations/Departments must subject such arrangements to regular reviews and record the outcome.</w:t>
      </w:r>
    </w:p>
    <w:p w14:paraId="5B42CC89" w14:textId="77777777" w:rsidR="00840D2D" w:rsidRDefault="00840D2D" w:rsidP="00840D2D">
      <w:pPr>
        <w:rPr>
          <w:sz w:val="22"/>
          <w:szCs w:val="22"/>
        </w:rPr>
      </w:pPr>
    </w:p>
    <w:p w14:paraId="2CAD7F69" w14:textId="77777777" w:rsidR="00840D2D" w:rsidRPr="00A17503" w:rsidRDefault="00840D2D" w:rsidP="00840D2D">
      <w:pPr>
        <w:rPr>
          <w:rFonts w:cs="Tahoma"/>
          <w:sz w:val="22"/>
          <w:szCs w:val="22"/>
          <w:lang w:val="en-US"/>
        </w:rPr>
      </w:pPr>
    </w:p>
    <w:p w14:paraId="16FD983E" w14:textId="77777777" w:rsidR="00840D2D" w:rsidRPr="00A17503" w:rsidRDefault="00840D2D" w:rsidP="00840D2D">
      <w:pPr>
        <w:pStyle w:val="Heading1"/>
        <w:rPr>
          <w:b/>
          <w:bCs w:val="0"/>
          <w:sz w:val="22"/>
          <w:szCs w:val="22"/>
          <w:lang w:val="en-US"/>
        </w:rPr>
      </w:pPr>
      <w:r w:rsidRPr="00A17503">
        <w:rPr>
          <w:b/>
          <w:bCs w:val="0"/>
          <w:sz w:val="22"/>
          <w:szCs w:val="22"/>
          <w:lang w:val="en-US"/>
        </w:rPr>
        <w:t>Document history</w:t>
      </w:r>
    </w:p>
    <w:tbl>
      <w:tblPr>
        <w:tblW w:w="9490" w:type="dxa"/>
        <w:tblCellSpacing w:w="0" w:type="dxa"/>
        <w:tblInd w:w="3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0"/>
        <w:gridCol w:w="1679"/>
        <w:gridCol w:w="1276"/>
        <w:gridCol w:w="1559"/>
        <w:gridCol w:w="3686"/>
      </w:tblGrid>
      <w:tr w:rsidR="00840D2D" w:rsidRPr="00A17503" w14:paraId="6166D55B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645BD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 </w:t>
            </w:r>
            <w:r w:rsidRPr="00A17503">
              <w:rPr>
                <w:rFonts w:cs="Arial"/>
                <w:b/>
                <w:bCs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E1483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5CFEA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b/>
                <w:bCs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142E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b/>
                <w:bCs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11031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b/>
                <w:bCs/>
                <w:sz w:val="22"/>
                <w:szCs w:val="22"/>
                <w:lang w:val="en-US"/>
              </w:rPr>
              <w:t>Comment</w:t>
            </w:r>
          </w:p>
        </w:tc>
      </w:tr>
      <w:tr w:rsidR="00840D2D" w:rsidRPr="00A17503" w14:paraId="4583D5FA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3EEAF" w14:textId="77777777" w:rsidR="00840D2D" w:rsidRPr="00A17503" w:rsidRDefault="00840D2D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1.0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87542" w14:textId="77777777" w:rsidR="00840D2D" w:rsidRPr="00A17503" w:rsidRDefault="00840D2D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sz w:val="22"/>
                <w:szCs w:val="22"/>
                <w:lang w:val="en-US"/>
              </w:rPr>
              <w:t>22/09/2009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73BF8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46E83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07420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</w:tr>
      <w:tr w:rsidR="00840D2D" w:rsidRPr="00A17503" w14:paraId="52C47E67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4B64D" w14:textId="77777777" w:rsidR="00840D2D" w:rsidRPr="00A17503" w:rsidRDefault="00840D2D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1.1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2AA0C" w14:textId="77777777" w:rsidR="00840D2D" w:rsidRPr="00A17503" w:rsidRDefault="00840D2D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sz w:val="22"/>
                <w:szCs w:val="22"/>
                <w:lang w:val="en-US"/>
              </w:rPr>
              <w:t>01/04/2014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274C9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72879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881B2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New format</w:t>
            </w:r>
          </w:p>
        </w:tc>
      </w:tr>
      <w:tr w:rsidR="00840D2D" w:rsidRPr="00A17503" w14:paraId="69F8074B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20F1B" w14:textId="77777777" w:rsidR="00840D2D" w:rsidRPr="00A17503" w:rsidRDefault="00840D2D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A68E8" w14:textId="77777777" w:rsidR="00840D2D" w:rsidRPr="00A17503" w:rsidRDefault="00840D2D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sz w:val="22"/>
                <w:szCs w:val="22"/>
                <w:lang w:val="en-US"/>
              </w:rPr>
              <w:t>01/04/2019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76DEA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0777C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4A2D8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Changed from “Safeguarding of Salary”</w:t>
            </w:r>
          </w:p>
        </w:tc>
      </w:tr>
      <w:tr w:rsidR="00840D2D" w:rsidRPr="00A17503" w14:paraId="64A64BBC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CA561" w14:textId="77777777" w:rsidR="00840D2D" w:rsidRPr="00A17503" w:rsidRDefault="00840D2D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bookmarkStart w:id="0" w:name="_Hlk109902066"/>
            <w:r>
              <w:rPr>
                <w:rFonts w:cs="Tahoma"/>
                <w:sz w:val="22"/>
                <w:szCs w:val="22"/>
                <w:lang w:val="en-US"/>
              </w:rPr>
              <w:t>1.2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171FA" w14:textId="77777777" w:rsidR="00840D2D" w:rsidRPr="00A17503" w:rsidRDefault="00840D2D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A17503">
              <w:rPr>
                <w:rFonts w:cs="Arial"/>
                <w:sz w:val="22"/>
                <w:szCs w:val="22"/>
                <w:lang w:val="en-US"/>
              </w:rPr>
              <w:t>01/08/2022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E417D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31EB0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A17503">
              <w:rPr>
                <w:rFonts w:cs="Tahoma"/>
                <w:sz w:val="22"/>
                <w:szCs w:val="22"/>
                <w:lang w:val="en-US"/>
              </w:rPr>
              <w:t>Active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D54AC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Updated to reflect agreed review date</w:t>
            </w:r>
          </w:p>
        </w:tc>
      </w:tr>
      <w:tr w:rsidR="00840D2D" w:rsidRPr="00A17503" w14:paraId="2DB81881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451DF" w14:textId="77777777" w:rsidR="00840D2D" w:rsidRDefault="00840D2D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1.3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5CB67" w14:textId="77777777" w:rsidR="00840D2D" w:rsidRPr="00A17503" w:rsidRDefault="00840D2D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07/07/2023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8FDC5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C2FC1" w14:textId="77777777" w:rsidR="00840D2D" w:rsidRPr="00A17503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Agreed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0DA01" w14:textId="77777777" w:rsidR="00840D2D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>Policy updated to reflect revised review date in accordance with planned schedule agreed by CLT</w:t>
            </w:r>
          </w:p>
        </w:tc>
      </w:tr>
      <w:tr w:rsidR="00840D2D" w:rsidRPr="00A17503" w14:paraId="5617243C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0D2ED" w14:textId="77777777" w:rsidR="00840D2D" w:rsidRDefault="00840D2D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1.4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87B34" w14:textId="4D9C2476" w:rsidR="00840D2D" w:rsidRDefault="0051387C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01/10/2023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B6112" w14:textId="77777777" w:rsidR="00840D2D" w:rsidRPr="0068611C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7A7A8" w14:textId="77777777" w:rsidR="00840D2D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Agreed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7DA1B" w14:textId="77777777" w:rsidR="00840D2D" w:rsidRPr="0068611C" w:rsidRDefault="00840D2D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 xml:space="preserve">Policy updated to reflect revised review date in accordance with planned schedule agreed </w:t>
            </w:r>
            <w:r>
              <w:rPr>
                <w:rFonts w:cs="Tahoma"/>
                <w:sz w:val="22"/>
                <w:szCs w:val="22"/>
                <w:lang w:val="en-US"/>
              </w:rPr>
              <w:t>with Audit &amp; Assurance</w:t>
            </w:r>
          </w:p>
        </w:tc>
      </w:tr>
      <w:tr w:rsidR="00C2546C" w:rsidRPr="00A17503" w14:paraId="6111B463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04DF9" w14:textId="1F7CC5D0" w:rsidR="00C2546C" w:rsidRDefault="00395F94" w:rsidP="007873A4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1.5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C11EB" w14:textId="3C052B0D" w:rsidR="00C2546C" w:rsidRDefault="00395F94" w:rsidP="007873A4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08/01/2024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8214A" w14:textId="4C5A2E85" w:rsidR="00C2546C" w:rsidRPr="0068611C" w:rsidRDefault="00395F94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1E136" w14:textId="65C6D7D6" w:rsidR="00C2546C" w:rsidRDefault="00395F94" w:rsidP="007873A4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Agreed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9997A" w14:textId="4F88B7A3" w:rsidR="00C2546C" w:rsidRPr="0068611C" w:rsidRDefault="00395F94" w:rsidP="007873A4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 xml:space="preserve">Policy updated to reflect revised review date in accordance with planned schedule agreed </w:t>
            </w:r>
            <w:r>
              <w:rPr>
                <w:rFonts w:cs="Tahoma"/>
                <w:sz w:val="22"/>
                <w:szCs w:val="22"/>
                <w:lang w:val="en-US"/>
              </w:rPr>
              <w:t>with Audit &amp; Assurance</w:t>
            </w:r>
          </w:p>
        </w:tc>
      </w:tr>
      <w:tr w:rsidR="0049403E" w:rsidRPr="00A17503" w14:paraId="4008DCC9" w14:textId="77777777" w:rsidTr="007873A4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35727" w14:textId="0F6027E9" w:rsidR="0049403E" w:rsidRDefault="0049403E" w:rsidP="0049403E">
            <w:pPr>
              <w:tabs>
                <w:tab w:val="left" w:pos="780"/>
              </w:tabs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1.6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33482" w14:textId="3039B5B0" w:rsidR="0049403E" w:rsidRDefault="00700604" w:rsidP="0049403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April </w:t>
            </w:r>
            <w:r w:rsidR="0049403E">
              <w:rPr>
                <w:rFonts w:cs="Arial"/>
                <w:sz w:val="22"/>
                <w:szCs w:val="22"/>
                <w:lang w:val="en-US"/>
              </w:rPr>
              <w:t>2024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221B0" w14:textId="0B105542" w:rsidR="0049403E" w:rsidRPr="0068611C" w:rsidRDefault="0049403E" w:rsidP="0049403E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>People Strategy &amp; Projects Team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35231" w14:textId="41DC628B" w:rsidR="0049403E" w:rsidRDefault="0049403E" w:rsidP="0049403E">
            <w:pPr>
              <w:rPr>
                <w:rFonts w:cs="Tahoma"/>
                <w:sz w:val="22"/>
                <w:szCs w:val="22"/>
                <w:lang w:val="en-US"/>
              </w:rPr>
            </w:pPr>
            <w:r>
              <w:rPr>
                <w:rFonts w:cs="Tahoma"/>
                <w:sz w:val="22"/>
                <w:szCs w:val="22"/>
                <w:lang w:val="en-US"/>
              </w:rPr>
              <w:t>Agreed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4F6B1" w14:textId="08EB5A47" w:rsidR="0049403E" w:rsidRPr="0068611C" w:rsidRDefault="0049403E" w:rsidP="0049403E">
            <w:pPr>
              <w:rPr>
                <w:rFonts w:cs="Tahoma"/>
                <w:sz w:val="22"/>
                <w:szCs w:val="22"/>
                <w:lang w:val="en-US"/>
              </w:rPr>
            </w:pPr>
            <w:r w:rsidRPr="0068611C">
              <w:rPr>
                <w:rFonts w:cs="Tahoma"/>
                <w:sz w:val="22"/>
                <w:szCs w:val="22"/>
                <w:lang w:val="en-US"/>
              </w:rPr>
              <w:t xml:space="preserve">Policy updated to reflect revised review date in accordance with planned schedule agreed </w:t>
            </w:r>
            <w:r>
              <w:rPr>
                <w:rFonts w:cs="Tahoma"/>
                <w:sz w:val="22"/>
                <w:szCs w:val="22"/>
                <w:lang w:val="en-US"/>
              </w:rPr>
              <w:t>with Audit &amp; Assurance</w:t>
            </w:r>
          </w:p>
        </w:tc>
      </w:tr>
      <w:bookmarkEnd w:id="0"/>
    </w:tbl>
    <w:p w14:paraId="50D5F740" w14:textId="77777777" w:rsidR="00840D2D" w:rsidRPr="00A17503" w:rsidRDefault="00840D2D" w:rsidP="00840D2D">
      <w:pPr>
        <w:rPr>
          <w:sz w:val="22"/>
          <w:szCs w:val="22"/>
          <w:lang w:eastAsia="en-GB"/>
        </w:rPr>
      </w:pPr>
    </w:p>
    <w:p w14:paraId="3B7B29D7" w14:textId="77777777" w:rsidR="00840D2D" w:rsidRPr="004571E1" w:rsidRDefault="00840D2D" w:rsidP="00840D2D">
      <w:pPr>
        <w:rPr>
          <w:b/>
          <w:sz w:val="22"/>
          <w:szCs w:val="22"/>
        </w:rPr>
      </w:pPr>
      <w:bookmarkStart w:id="1" w:name="_Hlk109902262"/>
      <w:bookmarkStart w:id="2" w:name="_Hlk109909006"/>
      <w:r w:rsidRPr="004571E1">
        <w:rPr>
          <w:b/>
          <w:sz w:val="22"/>
          <w:szCs w:val="22"/>
        </w:rPr>
        <w:t>Owner</w:t>
      </w:r>
    </w:p>
    <w:p w14:paraId="64FFBD36" w14:textId="2D4E3A0F" w:rsidR="00840D2D" w:rsidRPr="00A17503" w:rsidRDefault="00840D2D" w:rsidP="00840D2D">
      <w:pPr>
        <w:rPr>
          <w:sz w:val="22"/>
          <w:szCs w:val="22"/>
        </w:rPr>
      </w:pPr>
      <w:r w:rsidRPr="004571E1">
        <w:rPr>
          <w:rFonts w:cs="Tahoma"/>
          <w:sz w:val="22"/>
          <w:szCs w:val="22"/>
          <w:lang w:val="en-US"/>
        </w:rPr>
        <w:t>People Strategy &amp; Projects Team</w:t>
      </w:r>
      <w:bookmarkEnd w:id="1"/>
    </w:p>
    <w:p w14:paraId="420AAA0B" w14:textId="77777777" w:rsidR="00840D2D" w:rsidRPr="00A17503" w:rsidRDefault="00840D2D" w:rsidP="00840D2D">
      <w:pPr>
        <w:rPr>
          <w:sz w:val="22"/>
          <w:szCs w:val="22"/>
        </w:rPr>
      </w:pPr>
    </w:p>
    <w:bookmarkEnd w:id="2"/>
    <w:p w14:paraId="2E2A3147" w14:textId="77777777" w:rsidR="00840D2D" w:rsidRPr="00A17503" w:rsidRDefault="00840D2D" w:rsidP="00840D2D">
      <w:pPr>
        <w:rPr>
          <w:sz w:val="22"/>
          <w:szCs w:val="22"/>
        </w:rPr>
      </w:pPr>
    </w:p>
    <w:p w14:paraId="23B13CFF" w14:textId="77777777" w:rsidR="00840D2D" w:rsidRDefault="00840D2D" w:rsidP="00840D2D">
      <w:pPr>
        <w:rPr>
          <w:sz w:val="22"/>
          <w:szCs w:val="22"/>
        </w:rPr>
      </w:pPr>
    </w:p>
    <w:p w14:paraId="074146A8" w14:textId="77777777" w:rsidR="00DE68E9" w:rsidRDefault="00DE68E9"/>
    <w:sectPr w:rsidR="00DE68E9" w:rsidSect="001E1DF2">
      <w:type w:val="continuous"/>
      <w:pgSz w:w="11899" w:h="16838"/>
      <w:pgMar w:top="425" w:right="987" w:bottom="851" w:left="1418" w:header="426" w:footer="2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6A2BE" w14:textId="77777777" w:rsidR="00F61EFA" w:rsidRDefault="00F61EFA">
      <w:r>
        <w:separator/>
      </w:r>
    </w:p>
  </w:endnote>
  <w:endnote w:type="continuationSeparator" w:id="0">
    <w:p w14:paraId="48A21786" w14:textId="77777777" w:rsidR="00F61EFA" w:rsidRDefault="00F6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CE4F9" w14:textId="77777777" w:rsidR="00840D2D" w:rsidRPr="00DF0AA3" w:rsidRDefault="00840D2D" w:rsidP="00DF0AA3">
    <w:pPr>
      <w:pStyle w:val="Footer"/>
      <w:jc w:val="center"/>
      <w:rPr>
        <w:sz w:val="20"/>
        <w:szCs w:val="20"/>
      </w:rPr>
    </w:pPr>
    <w:r w:rsidRPr="00300ADE">
      <w:rPr>
        <w:sz w:val="20"/>
        <w:szCs w:val="20"/>
      </w:rPr>
      <w:t xml:space="preserve">Page </w:t>
    </w:r>
    <w:r w:rsidRPr="00300ADE">
      <w:rPr>
        <w:bCs/>
        <w:sz w:val="20"/>
        <w:szCs w:val="20"/>
      </w:rPr>
      <w:fldChar w:fldCharType="begin"/>
    </w:r>
    <w:r w:rsidRPr="00300ADE">
      <w:rPr>
        <w:bCs/>
        <w:sz w:val="20"/>
        <w:szCs w:val="20"/>
      </w:rPr>
      <w:instrText xml:space="preserve"> PAGE </w:instrText>
    </w:r>
    <w:r w:rsidRPr="00300AD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300ADE">
      <w:rPr>
        <w:bCs/>
        <w:sz w:val="20"/>
        <w:szCs w:val="20"/>
      </w:rPr>
      <w:fldChar w:fldCharType="end"/>
    </w:r>
    <w:r w:rsidRPr="00300ADE">
      <w:rPr>
        <w:sz w:val="20"/>
        <w:szCs w:val="20"/>
      </w:rPr>
      <w:t xml:space="preserve"> of </w:t>
    </w:r>
    <w:r w:rsidRPr="00300ADE">
      <w:rPr>
        <w:bCs/>
        <w:sz w:val="20"/>
        <w:szCs w:val="20"/>
      </w:rPr>
      <w:fldChar w:fldCharType="begin"/>
    </w:r>
    <w:r w:rsidRPr="00300ADE">
      <w:rPr>
        <w:bCs/>
        <w:sz w:val="20"/>
        <w:szCs w:val="20"/>
      </w:rPr>
      <w:instrText xml:space="preserve"> NUMPAGES  </w:instrText>
    </w:r>
    <w:r w:rsidRPr="00300ADE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300ADE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DB65F" w14:textId="77777777" w:rsidR="00840D2D" w:rsidRDefault="00840D2D" w:rsidP="00DF0AA3">
    <w:pPr>
      <w:pStyle w:val="Footer"/>
      <w:jc w:val="center"/>
    </w:pPr>
    <w:r w:rsidRPr="001E1DF2">
      <w:rPr>
        <w:sz w:val="20"/>
        <w:szCs w:val="20"/>
      </w:rPr>
      <w:t xml:space="preserve">Page </w:t>
    </w:r>
    <w:r w:rsidRPr="001E1DF2">
      <w:rPr>
        <w:bCs/>
        <w:sz w:val="20"/>
        <w:szCs w:val="20"/>
      </w:rPr>
      <w:fldChar w:fldCharType="begin"/>
    </w:r>
    <w:r w:rsidRPr="001E1DF2">
      <w:rPr>
        <w:bCs/>
        <w:sz w:val="20"/>
        <w:szCs w:val="20"/>
      </w:rPr>
      <w:instrText xml:space="preserve"> PAGE </w:instrText>
    </w:r>
    <w:r w:rsidRPr="001E1DF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1</w:t>
    </w:r>
    <w:r w:rsidRPr="001E1DF2">
      <w:rPr>
        <w:bCs/>
        <w:sz w:val="20"/>
        <w:szCs w:val="20"/>
      </w:rPr>
      <w:fldChar w:fldCharType="end"/>
    </w:r>
    <w:r w:rsidRPr="001E1DF2">
      <w:rPr>
        <w:sz w:val="20"/>
        <w:szCs w:val="20"/>
      </w:rPr>
      <w:t xml:space="preserve"> of </w:t>
    </w:r>
    <w:r w:rsidRPr="001E1DF2">
      <w:rPr>
        <w:bCs/>
        <w:sz w:val="20"/>
        <w:szCs w:val="20"/>
      </w:rPr>
      <w:fldChar w:fldCharType="begin"/>
    </w:r>
    <w:r w:rsidRPr="001E1DF2">
      <w:rPr>
        <w:bCs/>
        <w:sz w:val="20"/>
        <w:szCs w:val="20"/>
      </w:rPr>
      <w:instrText xml:space="preserve"> NUMPAGES  </w:instrText>
    </w:r>
    <w:r w:rsidRPr="001E1DF2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1E1DF2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4BC8A" w14:textId="77777777" w:rsidR="00F61EFA" w:rsidRDefault="00F61EFA">
      <w:r>
        <w:separator/>
      </w:r>
    </w:p>
  </w:footnote>
  <w:footnote w:type="continuationSeparator" w:id="0">
    <w:p w14:paraId="4DC8F37E" w14:textId="77777777" w:rsidR="00F61EFA" w:rsidRDefault="00F6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DD20F" w14:textId="77777777" w:rsidR="00840D2D" w:rsidRPr="00DF0AA3" w:rsidRDefault="00840D2D" w:rsidP="00DF0AA3">
    <w:pPr>
      <w:pStyle w:val="Footer"/>
      <w:tabs>
        <w:tab w:val="clear" w:pos="8640"/>
        <w:tab w:val="right" w:pos="949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2F077F8" w14:textId="77777777" w:rsidR="00840D2D" w:rsidRDefault="0084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04DCD" w14:textId="77777777" w:rsidR="00840D2D" w:rsidRPr="00DF0AA3" w:rsidRDefault="00840D2D" w:rsidP="00DF0AA3">
    <w:pPr>
      <w:pStyle w:val="Footer"/>
      <w:tabs>
        <w:tab w:val="clear" w:pos="8640"/>
        <w:tab w:val="right" w:pos="949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EB57401" w14:textId="77777777" w:rsidR="00840D2D" w:rsidRDefault="00840D2D">
    <w:pPr>
      <w:pStyle w:val="Header"/>
    </w:pPr>
  </w:p>
  <w:p w14:paraId="123055F5" w14:textId="77777777" w:rsidR="00840D2D" w:rsidRDefault="00840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E6638"/>
    <w:multiLevelType w:val="hybridMultilevel"/>
    <w:tmpl w:val="9768E12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636149"/>
    <w:multiLevelType w:val="hybridMultilevel"/>
    <w:tmpl w:val="E408AE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25226D"/>
    <w:multiLevelType w:val="hybridMultilevel"/>
    <w:tmpl w:val="E6B2C45E"/>
    <w:lvl w:ilvl="0" w:tplc="E924C6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C913A0"/>
    <w:multiLevelType w:val="hybridMultilevel"/>
    <w:tmpl w:val="D3864C16"/>
    <w:lvl w:ilvl="0" w:tplc="43AEB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A2B05"/>
    <w:multiLevelType w:val="hybridMultilevel"/>
    <w:tmpl w:val="117066B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57686266">
    <w:abstractNumId w:val="3"/>
  </w:num>
  <w:num w:numId="2" w16cid:durableId="885407230">
    <w:abstractNumId w:val="1"/>
  </w:num>
  <w:num w:numId="3" w16cid:durableId="2009868860">
    <w:abstractNumId w:val="0"/>
  </w:num>
  <w:num w:numId="4" w16cid:durableId="101727136">
    <w:abstractNumId w:val="2"/>
  </w:num>
  <w:num w:numId="5" w16cid:durableId="834493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D"/>
    <w:rsid w:val="00286859"/>
    <w:rsid w:val="00395F94"/>
    <w:rsid w:val="0049403E"/>
    <w:rsid w:val="004B13FE"/>
    <w:rsid w:val="0051387C"/>
    <w:rsid w:val="00700604"/>
    <w:rsid w:val="00840D2D"/>
    <w:rsid w:val="009A2685"/>
    <w:rsid w:val="00C2546C"/>
    <w:rsid w:val="00DC68DA"/>
    <w:rsid w:val="00DE68E9"/>
    <w:rsid w:val="00F61EFA"/>
    <w:rsid w:val="00F7187C"/>
    <w:rsid w:val="00F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CD60"/>
  <w15:chartTrackingRefBased/>
  <w15:docId w15:val="{F7F4DD9A-896E-43FC-A74C-A529A168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rnardo's"/>
    <w:qFormat/>
    <w:rsid w:val="00840D2D"/>
    <w:pPr>
      <w:spacing w:after="0" w:line="240" w:lineRule="auto"/>
    </w:pPr>
    <w:rPr>
      <w:rFonts w:ascii="Verdana" w:eastAsia="Times New Roman" w:hAnsi="Verdana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40D2D"/>
    <w:pPr>
      <w:keepNext/>
      <w:spacing w:before="240" w:after="60"/>
      <w:outlineLvl w:val="0"/>
    </w:pPr>
    <w:rPr>
      <w:bCs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D2D"/>
    <w:rPr>
      <w:rFonts w:ascii="Verdana" w:eastAsia="Times New Roman" w:hAnsi="Verdana" w:cs="Times New Roman"/>
      <w:bCs/>
      <w:kern w:val="32"/>
      <w:sz w:val="52"/>
      <w:szCs w:val="32"/>
      <w14:ligatures w14:val="none"/>
    </w:rPr>
  </w:style>
  <w:style w:type="paragraph" w:styleId="Header">
    <w:name w:val="header"/>
    <w:basedOn w:val="Normal"/>
    <w:link w:val="HeaderChar"/>
    <w:rsid w:val="00840D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D2D"/>
    <w:rPr>
      <w:rFonts w:ascii="Verdana" w:eastAsia="Times New Roman" w:hAnsi="Verdana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840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2D"/>
    <w:rPr>
      <w:rFonts w:ascii="Verdana" w:eastAsia="Times New Roman" w:hAnsi="Verdana" w:cs="Times New Roman"/>
      <w:kern w:val="0"/>
      <w:sz w:val="24"/>
      <w:szCs w:val="24"/>
      <w14:ligatures w14:val="none"/>
    </w:rPr>
  </w:style>
  <w:style w:type="character" w:styleId="Hyperlink">
    <w:name w:val="Hyperlink"/>
    <w:rsid w:val="00840D2D"/>
    <w:rPr>
      <w:color w:val="0000FF"/>
      <w:u w:val="single"/>
    </w:rPr>
  </w:style>
  <w:style w:type="character" w:styleId="Emphasis">
    <w:name w:val="Emphasis"/>
    <w:aliases w:val="2nd heading"/>
    <w:qFormat/>
    <w:rsid w:val="00840D2D"/>
    <w:rPr>
      <w:rFonts w:ascii="Verdana" w:hAnsi="Verdana"/>
      <w:b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nside.barnardos.org.uk/safeguarding/safeguarding-code-condu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livelink.barnardos.org.uk/otcs/llisapi.dll?func=ll&amp;objId=302246346&amp;objAction=browse&amp;viewTyp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Walters</dc:creator>
  <cp:keywords/>
  <dc:description/>
  <cp:lastModifiedBy>Tina Walters</cp:lastModifiedBy>
  <cp:revision>4</cp:revision>
  <dcterms:created xsi:type="dcterms:W3CDTF">2024-04-15T11:21:00Z</dcterms:created>
  <dcterms:modified xsi:type="dcterms:W3CDTF">2024-04-15T15:38:00Z</dcterms:modified>
</cp:coreProperties>
</file>