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3F06" w14:textId="75922C2E" w:rsidR="00626610" w:rsidRPr="00B94A68" w:rsidRDefault="00800036" w:rsidP="009454C6">
      <w:pPr>
        <w:pStyle w:val="BodyText"/>
        <w:spacing w:after="0" w:line="276" w:lineRule="auto"/>
        <w:rPr>
          <w:rFonts w:asciiTheme="majorHAnsi" w:eastAsiaTheme="majorEastAsia" w:hAnsiTheme="majorHAnsi" w:cstheme="majorBidi"/>
          <w:sz w:val="40"/>
          <w:szCs w:val="32"/>
        </w:rPr>
      </w:pPr>
      <w:r>
        <w:rPr>
          <w:rFonts w:asciiTheme="majorHAnsi" w:eastAsiaTheme="majorEastAsia" w:hAnsiTheme="majorHAnsi" w:cstheme="majorBidi"/>
          <w:sz w:val="40"/>
          <w:szCs w:val="32"/>
        </w:rPr>
        <w:t>Barnardo’s Research Ethics Committee [BREC]</w:t>
      </w:r>
    </w:p>
    <w:p w14:paraId="459F8A1F" w14:textId="3565CAF3" w:rsidR="00102A41" w:rsidRPr="00693A5B" w:rsidRDefault="00BB779A" w:rsidP="000933E7">
      <w:pPr>
        <w:pStyle w:val="BodyText"/>
        <w:rPr>
          <w:rFonts w:asciiTheme="majorHAnsi" w:eastAsiaTheme="majorEastAsia" w:hAnsiTheme="majorHAnsi" w:cstheme="majorBidi"/>
          <w:color w:val="0B463D" w:themeColor="accent6"/>
          <w:sz w:val="40"/>
          <w:szCs w:val="32"/>
        </w:rPr>
      </w:pPr>
      <w:r w:rsidRPr="00693A5B">
        <w:rPr>
          <w:noProof/>
          <w:color w:val="0B463D" w:themeColor="accent6"/>
        </w:rPr>
        <w:drawing>
          <wp:anchor distT="0" distB="0" distL="114300" distR="114300" simplePos="0" relativeHeight="251659264" behindDoc="1" locked="1" layoutInCell="1" allowOverlap="1" wp14:anchorId="7F364299" wp14:editId="160412C0">
            <wp:simplePos x="0" y="0"/>
            <wp:positionH relativeFrom="page">
              <wp:posOffset>5553075</wp:posOffset>
            </wp:positionH>
            <wp:positionV relativeFrom="topMargin">
              <wp:posOffset>160020</wp:posOffset>
            </wp:positionV>
            <wp:extent cx="1799590" cy="759460"/>
            <wp:effectExtent l="0" t="0" r="0" b="2540"/>
            <wp:wrapNone/>
            <wp:docPr id="550367014"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67014" name="Picture 1" descr="A green and white text on a black backgroun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0036">
        <w:rPr>
          <w:rFonts w:asciiTheme="majorHAnsi" w:eastAsiaTheme="majorEastAsia" w:hAnsiTheme="majorHAnsi" w:cstheme="majorBidi"/>
          <w:color w:val="0B463D" w:themeColor="accent6"/>
          <w:sz w:val="40"/>
          <w:szCs w:val="32"/>
        </w:rPr>
        <w:t>Changes to BREC</w:t>
      </w:r>
    </w:p>
    <w:p w14:paraId="0AF606F4" w14:textId="77777777" w:rsidR="004A3E70" w:rsidRPr="004A3E70" w:rsidRDefault="004A3E70" w:rsidP="004A3E70">
      <w:pPr>
        <w:pStyle w:val="Heading2"/>
        <w:rPr>
          <w:color w:val="FF955A" w:themeColor="accent3"/>
        </w:rPr>
      </w:pPr>
      <w:r w:rsidRPr="004A3E70">
        <w:rPr>
          <w:color w:val="FF955A" w:themeColor="accent3"/>
        </w:rPr>
        <w:t>BREC no longer will review research (including evaluation) conducted with Barnardo’s staff</w:t>
      </w:r>
    </w:p>
    <w:p w14:paraId="1B7579D6" w14:textId="31933CE9" w:rsidR="004A3E70" w:rsidRDefault="004A3E70" w:rsidP="004A3E70">
      <w:pPr>
        <w:rPr>
          <w:rFonts w:cstheme="minorHAnsi"/>
        </w:rPr>
      </w:pPr>
      <w:r w:rsidRPr="007062D4">
        <w:rPr>
          <w:rFonts w:cstheme="minorHAnsi"/>
        </w:rPr>
        <w:t>Before the review, research “Involving staff, that might lead to publication”</w:t>
      </w:r>
      <w:r w:rsidRPr="007062D4">
        <w:rPr>
          <w:rStyle w:val="EndnoteReference"/>
          <w:rFonts w:cstheme="minorHAnsi"/>
        </w:rPr>
        <w:endnoteReference w:id="1"/>
      </w:r>
      <w:r w:rsidRPr="007062D4">
        <w:rPr>
          <w:rFonts w:cstheme="minorHAnsi"/>
        </w:rPr>
        <w:t xml:space="preserve"> needed a BREC review. BREC no longer will review research where the participants are Barnardo’s staff.</w:t>
      </w:r>
    </w:p>
    <w:p w14:paraId="7213C948" w14:textId="77777777" w:rsidR="004A3E70" w:rsidRPr="007062D4" w:rsidRDefault="004A3E70" w:rsidP="004A3E70">
      <w:pPr>
        <w:rPr>
          <w:rFonts w:cstheme="minorHAnsi"/>
        </w:rPr>
      </w:pPr>
    </w:p>
    <w:p w14:paraId="04CFCD41" w14:textId="77777777" w:rsidR="004A3E70" w:rsidRPr="004A3E70" w:rsidRDefault="004A3E70" w:rsidP="004A3E70">
      <w:pPr>
        <w:rPr>
          <w:rFonts w:cstheme="minorHAnsi"/>
          <w:b/>
          <w:bCs/>
          <w:color w:val="0B463D" w:themeColor="accent6"/>
        </w:rPr>
      </w:pPr>
      <w:r w:rsidRPr="004A3E70">
        <w:rPr>
          <w:rFonts w:cstheme="minorHAnsi"/>
          <w:b/>
          <w:bCs/>
          <w:color w:val="0B463D" w:themeColor="accent6"/>
        </w:rPr>
        <w:t xml:space="preserve">Why? </w:t>
      </w:r>
    </w:p>
    <w:p w14:paraId="3301E72B" w14:textId="77777777" w:rsidR="004A3E70" w:rsidRPr="007062D4" w:rsidRDefault="004A3E70" w:rsidP="004A3E70">
      <w:pPr>
        <w:pStyle w:val="ListBullet"/>
      </w:pPr>
      <w:r w:rsidRPr="007062D4">
        <w:t xml:space="preserve">This distinction unnecessarily complicates BREC remit. </w:t>
      </w:r>
    </w:p>
    <w:p w14:paraId="6B0E2B12" w14:textId="77777777" w:rsidR="004A3E70" w:rsidRPr="007062D4" w:rsidRDefault="004A3E70" w:rsidP="004A3E70">
      <w:pPr>
        <w:pStyle w:val="ListBullet"/>
      </w:pPr>
      <w:r w:rsidRPr="007062D4">
        <w:t xml:space="preserve">BREC could involuntarily prevent some Barnardo’s staff to take part in external research projects. BREC have had several people who want to take part in external research projects, where Barnardo's wouldn't be named, but having to come through the BREC process has stopped them from doing so (usually because of time). In all cases there has been little risk to the staff members, Barnardo’s reputation, and it felt unreasonable. We don’t believe it should be up to BREC to say if staff members are allowed to participate in research. </w:t>
      </w:r>
    </w:p>
    <w:p w14:paraId="17065864" w14:textId="463878AB" w:rsidR="004A3E70" w:rsidRDefault="004A3E70" w:rsidP="004A3E70">
      <w:pPr>
        <w:pStyle w:val="ListBullet"/>
      </w:pPr>
      <w:r w:rsidRPr="007062D4">
        <w:t>BREC is reviewing research with staff members that is being published externally as a risk mitigating measure to help protect Barnardo's reputation against findings that might reflect poorly on its staff and services. This is not research ethics and BREC does not have final sign-off of research outputs, and therefore it shouldn’t be in BREC’s remit.</w:t>
      </w:r>
    </w:p>
    <w:p w14:paraId="586D8E4A" w14:textId="2BD7F608" w:rsidR="004A3E70" w:rsidRPr="004A3E70" w:rsidRDefault="004A3E70" w:rsidP="004A3E70">
      <w:pPr>
        <w:pStyle w:val="Heading2"/>
        <w:rPr>
          <w:color w:val="FF955A" w:themeColor="accent3"/>
        </w:rPr>
      </w:pPr>
      <w:r w:rsidRPr="004A3E70">
        <w:rPr>
          <w:color w:val="FF955A" w:themeColor="accent3"/>
        </w:rPr>
        <w:t>Research (including evaluation) published both internally and externally does need to be submitted to BREC for review</w:t>
      </w:r>
    </w:p>
    <w:p w14:paraId="7DF89CD2" w14:textId="77777777" w:rsidR="004A3E70" w:rsidRDefault="004A3E70" w:rsidP="004A3E70">
      <w:pPr>
        <w:rPr>
          <w:rFonts w:cstheme="minorHAnsi"/>
          <w:lang w:val="en-US"/>
        </w:rPr>
      </w:pPr>
      <w:r w:rsidRPr="007062D4">
        <w:rPr>
          <w:rFonts w:cstheme="minorHAnsi"/>
          <w:lang w:val="en-US"/>
        </w:rPr>
        <w:t>Before the review “Gathering insight that you do not intend to share with people outside of Barnardo’s (other than ‘business as usual’ reporting to commissioners, which itself does not need to be submitted to BREC)”</w:t>
      </w:r>
      <w:r w:rsidRPr="007062D4">
        <w:rPr>
          <w:rStyle w:val="EndnoteReference"/>
          <w:rFonts w:cstheme="minorHAnsi"/>
          <w:lang w:val="en-US"/>
        </w:rPr>
        <w:endnoteReference w:id="2"/>
      </w:r>
      <w:r w:rsidRPr="007062D4">
        <w:rPr>
          <w:rFonts w:cstheme="minorHAnsi"/>
          <w:lang w:val="en-US"/>
        </w:rPr>
        <w:t xml:space="preserve"> did not need to be reviewed by BREC. The publication status of a project does no longer determines if it needs a review or not. If the project is research, it needs to be reviewed irrespective of who the research is published for.</w:t>
      </w:r>
    </w:p>
    <w:p w14:paraId="6BD96F54" w14:textId="77777777" w:rsidR="004A3E70" w:rsidRPr="007062D4" w:rsidRDefault="004A3E70" w:rsidP="004A3E70">
      <w:pPr>
        <w:rPr>
          <w:rFonts w:cstheme="minorHAnsi"/>
          <w:lang w:val="en-US"/>
        </w:rPr>
      </w:pPr>
    </w:p>
    <w:p w14:paraId="45A532BA" w14:textId="77777777" w:rsidR="004A3E70" w:rsidRPr="004A3E70" w:rsidRDefault="004A3E70" w:rsidP="004A3E70">
      <w:pPr>
        <w:rPr>
          <w:rFonts w:cstheme="minorHAnsi"/>
          <w:b/>
          <w:bCs/>
          <w:color w:val="0B463D" w:themeColor="accent6"/>
          <w:lang w:val="en-US"/>
        </w:rPr>
      </w:pPr>
      <w:r w:rsidRPr="004A3E70">
        <w:rPr>
          <w:rFonts w:cstheme="minorHAnsi"/>
          <w:b/>
          <w:bCs/>
          <w:color w:val="0B463D" w:themeColor="accent6"/>
          <w:lang w:val="en-US"/>
        </w:rPr>
        <w:t>Why?</w:t>
      </w:r>
    </w:p>
    <w:p w14:paraId="6D97EEF2" w14:textId="77777777" w:rsidR="004A3E70" w:rsidRDefault="004A3E70" w:rsidP="004A3E70">
      <w:pPr>
        <w:rPr>
          <w:rFonts w:cstheme="minorHAnsi"/>
        </w:rPr>
      </w:pPr>
      <w:r w:rsidRPr="007062D4">
        <w:rPr>
          <w:rFonts w:cstheme="minorHAnsi"/>
        </w:rPr>
        <w:t>Research which involves service users, former service users, or children and young people accessed via Barnardo’s services as participants need a BREC review to protect their rights, safety, dignity and wellbeing, irrespective if the research is published externally or internally. Research could be damaging to participants throughout the research process irrespective if the research is published internally or externally.</w:t>
      </w:r>
    </w:p>
    <w:p w14:paraId="44719474" w14:textId="77777777" w:rsidR="004A3E70" w:rsidRPr="007062D4" w:rsidRDefault="004A3E70" w:rsidP="004A3E70">
      <w:pPr>
        <w:rPr>
          <w:rFonts w:cstheme="minorHAnsi"/>
        </w:rPr>
      </w:pPr>
    </w:p>
    <w:p w14:paraId="78B6B0E6" w14:textId="0A4A5794" w:rsidR="004A3E70" w:rsidRPr="004A3E70" w:rsidRDefault="004A3E70" w:rsidP="004A3E70">
      <w:pPr>
        <w:pStyle w:val="Heading2"/>
        <w:rPr>
          <w:color w:val="FF955A" w:themeColor="accent3"/>
        </w:rPr>
      </w:pPr>
      <w:r w:rsidRPr="004A3E70">
        <w:rPr>
          <w:color w:val="FF955A" w:themeColor="accent3"/>
        </w:rPr>
        <w:t>BREC will allow undergraduate or masters’ students access to Barnardo’s service users if the students are Barnardo’s staff</w:t>
      </w:r>
    </w:p>
    <w:p w14:paraId="7B41F3F3" w14:textId="6F4C23E1" w:rsidR="004A3E70" w:rsidRPr="004A3E70" w:rsidRDefault="004A3E70" w:rsidP="004A3E70">
      <w:pPr>
        <w:rPr>
          <w:rFonts w:cstheme="minorHAnsi"/>
        </w:rPr>
      </w:pPr>
      <w:r w:rsidRPr="007062D4">
        <w:rPr>
          <w:rFonts w:cstheme="minorHAnsi"/>
        </w:rPr>
        <w:t xml:space="preserve">It has been BREC’s advice that undergraduate or </w:t>
      </w:r>
      <w:r>
        <w:rPr>
          <w:rFonts w:cstheme="minorHAnsi"/>
        </w:rPr>
        <w:t>m</w:t>
      </w:r>
      <w:r w:rsidRPr="007062D4">
        <w:rPr>
          <w:rFonts w:cstheme="minorHAnsi"/>
        </w:rPr>
        <w:t>asters’ students (including Barnardo’s</w:t>
      </w:r>
      <w:r>
        <w:rPr>
          <w:rFonts w:cstheme="minorHAnsi"/>
        </w:rPr>
        <w:t xml:space="preserve"> staff</w:t>
      </w:r>
      <w:r w:rsidRPr="007062D4">
        <w:rPr>
          <w:rFonts w:cstheme="minorHAnsi"/>
        </w:rPr>
        <w:t>) should not normally be given access to service users for research purposes</w:t>
      </w:r>
      <w:r>
        <w:rPr>
          <w:rFonts w:cstheme="minorHAnsi"/>
        </w:rPr>
        <w:t xml:space="preserve">. </w:t>
      </w:r>
      <w:r w:rsidRPr="007062D4">
        <w:rPr>
          <w:rFonts w:cstheme="minorHAnsi"/>
        </w:rPr>
        <w:t>BREC will no longer advice against research just because a</w:t>
      </w:r>
      <w:r>
        <w:rPr>
          <w:rFonts w:cstheme="minorHAnsi"/>
        </w:rPr>
        <w:t xml:space="preserve"> member of staff</w:t>
      </w:r>
      <w:r w:rsidRPr="007062D4">
        <w:rPr>
          <w:rFonts w:cstheme="minorHAnsi"/>
        </w:rPr>
        <w:t xml:space="preserve"> is doing the research as part of an undergraduate or </w:t>
      </w:r>
      <w:r>
        <w:rPr>
          <w:rFonts w:cstheme="minorHAnsi"/>
        </w:rPr>
        <w:t>m</w:t>
      </w:r>
      <w:r w:rsidRPr="007062D4">
        <w:rPr>
          <w:rFonts w:cstheme="minorHAnsi"/>
        </w:rPr>
        <w:t>aster</w:t>
      </w:r>
      <w:r>
        <w:rPr>
          <w:rFonts w:cstheme="minorHAnsi"/>
        </w:rPr>
        <w:t>’</w:t>
      </w:r>
      <w:r w:rsidRPr="007062D4">
        <w:rPr>
          <w:rFonts w:cstheme="minorHAnsi"/>
        </w:rPr>
        <w:t>s study.</w:t>
      </w:r>
    </w:p>
    <w:p w14:paraId="2C38A51E" w14:textId="77777777" w:rsidR="004A3E70" w:rsidRDefault="004A3E70" w:rsidP="004A3E70">
      <w:pPr>
        <w:rPr>
          <w:rFonts w:cstheme="minorHAnsi"/>
          <w:b/>
          <w:bCs/>
        </w:rPr>
      </w:pPr>
    </w:p>
    <w:p w14:paraId="142342D9" w14:textId="77777777" w:rsidR="004A3E70" w:rsidRPr="004A3E70" w:rsidRDefault="004A3E70" w:rsidP="004A3E70">
      <w:pPr>
        <w:rPr>
          <w:rFonts w:cstheme="minorHAnsi"/>
          <w:b/>
          <w:bCs/>
          <w:color w:val="0B463D" w:themeColor="accent6"/>
        </w:rPr>
      </w:pPr>
      <w:r w:rsidRPr="004A3E70">
        <w:rPr>
          <w:rFonts w:cstheme="minorHAnsi"/>
          <w:b/>
          <w:bCs/>
          <w:color w:val="0B463D" w:themeColor="accent6"/>
        </w:rPr>
        <w:t>Why?</w:t>
      </w:r>
    </w:p>
    <w:p w14:paraId="06E3241E" w14:textId="72996D72" w:rsidR="004A3E70" w:rsidRDefault="004A3E70" w:rsidP="004A3E70">
      <w:pPr>
        <w:rPr>
          <w:rFonts w:cstheme="minorHAnsi"/>
        </w:rPr>
      </w:pPr>
      <w:r w:rsidRPr="007062D4">
        <w:rPr>
          <w:rFonts w:cstheme="minorHAnsi"/>
        </w:rPr>
        <w:t>When a</w:t>
      </w:r>
      <w:r>
        <w:rPr>
          <w:rFonts w:cstheme="minorHAnsi"/>
        </w:rPr>
        <w:t xml:space="preserve"> member of Barnardo’s staff</w:t>
      </w:r>
      <w:r w:rsidRPr="007062D4">
        <w:rPr>
          <w:rFonts w:cstheme="minorHAnsi"/>
        </w:rPr>
        <w:t xml:space="preserve"> is undertaking undergraduate or master’s research</w:t>
      </w:r>
      <w:r>
        <w:rPr>
          <w:rFonts w:cstheme="minorHAnsi"/>
        </w:rPr>
        <w:t>,</w:t>
      </w:r>
      <w:r w:rsidRPr="007062D4">
        <w:rPr>
          <w:rFonts w:cstheme="minorHAnsi"/>
        </w:rPr>
        <w:t xml:space="preserve"> it is inconsistent and unfair to advise aga</w:t>
      </w:r>
      <w:r>
        <w:rPr>
          <w:rFonts w:cstheme="minorHAnsi"/>
        </w:rPr>
        <w:t>inst them doing research just because it forms part of their undergraduate or master’s course</w:t>
      </w:r>
      <w:r w:rsidRPr="007062D4">
        <w:rPr>
          <w:rFonts w:cstheme="minorHAnsi"/>
        </w:rPr>
        <w:t xml:space="preserve">. </w:t>
      </w:r>
      <w:r>
        <w:rPr>
          <w:rFonts w:cstheme="minorHAnsi"/>
        </w:rPr>
        <w:t xml:space="preserve">Barnardo’s staff who are students </w:t>
      </w:r>
      <w:r w:rsidRPr="00F3129B">
        <w:rPr>
          <w:rFonts w:cstheme="minorHAnsi"/>
        </w:rPr>
        <w:t>should be able to demonstrate that they meet the necessary level of experience/knowledge required by BREC</w:t>
      </w:r>
      <w:r>
        <w:rPr>
          <w:rFonts w:cstheme="minorHAnsi"/>
        </w:rPr>
        <w:t xml:space="preserve"> to do research on Barnardo’s service users, as all other members of Barnardo’s staff</w:t>
      </w:r>
      <w:r w:rsidRPr="00F3129B">
        <w:rPr>
          <w:rFonts w:cstheme="minorHAnsi"/>
        </w:rPr>
        <w:t xml:space="preserve">. </w:t>
      </w:r>
      <w:r w:rsidRPr="007062D4">
        <w:rPr>
          <w:rFonts w:cstheme="minorHAnsi"/>
        </w:rPr>
        <w:t xml:space="preserve">The BREC group agreed that </w:t>
      </w:r>
      <w:r>
        <w:rPr>
          <w:rFonts w:cstheme="minorHAnsi"/>
        </w:rPr>
        <w:t>this</w:t>
      </w:r>
      <w:r w:rsidRPr="007062D4">
        <w:rPr>
          <w:rFonts w:cstheme="minorHAnsi"/>
        </w:rPr>
        <w:t xml:space="preserve"> will </w:t>
      </w:r>
      <w:r>
        <w:rPr>
          <w:rFonts w:cstheme="minorHAnsi"/>
        </w:rPr>
        <w:t xml:space="preserve">be </w:t>
      </w:r>
      <w:r w:rsidRPr="007062D4">
        <w:rPr>
          <w:rFonts w:cstheme="minorHAnsi"/>
        </w:rPr>
        <w:t>assess</w:t>
      </w:r>
      <w:r>
        <w:rPr>
          <w:rFonts w:cstheme="minorHAnsi"/>
        </w:rPr>
        <w:t xml:space="preserve">ed </w:t>
      </w:r>
      <w:r w:rsidRPr="007062D4">
        <w:rPr>
          <w:rFonts w:cstheme="minorHAnsi"/>
        </w:rPr>
        <w:t>on a case-by-case basis.</w:t>
      </w:r>
    </w:p>
    <w:p w14:paraId="7EE5F507" w14:textId="77777777" w:rsidR="00CE0C46" w:rsidRDefault="00CE0C46" w:rsidP="004A3E70">
      <w:pPr>
        <w:rPr>
          <w:rFonts w:cstheme="minorHAnsi"/>
        </w:rPr>
      </w:pPr>
    </w:p>
    <w:p w14:paraId="56134086" w14:textId="0CE559C5" w:rsidR="00CE0C46" w:rsidRPr="004A3E70" w:rsidRDefault="00CE0C46" w:rsidP="00CE0C46">
      <w:pPr>
        <w:pStyle w:val="Heading2"/>
        <w:rPr>
          <w:color w:val="FF955A" w:themeColor="accent3"/>
        </w:rPr>
      </w:pPr>
      <w:r w:rsidRPr="004A3E70">
        <w:rPr>
          <w:color w:val="FF955A" w:themeColor="accent3"/>
        </w:rPr>
        <w:t xml:space="preserve">BREC </w:t>
      </w:r>
      <w:r w:rsidR="00A76CFD">
        <w:rPr>
          <w:color w:val="FF955A" w:themeColor="accent3"/>
        </w:rPr>
        <w:t xml:space="preserve">no longer </w:t>
      </w:r>
      <w:r w:rsidRPr="004A3E70">
        <w:rPr>
          <w:color w:val="FF955A" w:themeColor="accent3"/>
        </w:rPr>
        <w:t xml:space="preserve">will </w:t>
      </w:r>
      <w:r w:rsidR="00A76CFD">
        <w:rPr>
          <w:color w:val="FF955A" w:themeColor="accent3"/>
        </w:rPr>
        <w:t xml:space="preserve">ask for </w:t>
      </w:r>
      <w:r w:rsidR="00C43387">
        <w:rPr>
          <w:color w:val="FF955A" w:themeColor="accent3"/>
        </w:rPr>
        <w:t>researchers’ CVs as part of the BREC application</w:t>
      </w:r>
    </w:p>
    <w:p w14:paraId="3B9F2860" w14:textId="7601B9B1" w:rsidR="00CE0C46" w:rsidRPr="004A3E70" w:rsidRDefault="002B7BA1" w:rsidP="00CE0C46">
      <w:pPr>
        <w:rPr>
          <w:rFonts w:cstheme="minorHAnsi"/>
        </w:rPr>
      </w:pPr>
      <w:r>
        <w:rPr>
          <w:rFonts w:cstheme="minorHAnsi"/>
        </w:rPr>
        <w:t>BREC used to ask researc</w:t>
      </w:r>
      <w:r w:rsidR="003E4A11">
        <w:rPr>
          <w:rFonts w:cstheme="minorHAnsi"/>
        </w:rPr>
        <w:t>hers to submit their CVs as part of the BREC application process</w:t>
      </w:r>
      <w:r w:rsidR="00F9435D">
        <w:rPr>
          <w:rFonts w:cstheme="minorHAnsi"/>
        </w:rPr>
        <w:t xml:space="preserve">. Researcher CVs </w:t>
      </w:r>
      <w:r w:rsidR="008C03DD">
        <w:rPr>
          <w:rFonts w:cstheme="minorHAnsi"/>
        </w:rPr>
        <w:t>w</w:t>
      </w:r>
      <w:r w:rsidR="00447E78">
        <w:rPr>
          <w:rFonts w:cstheme="minorHAnsi"/>
        </w:rPr>
        <w:t>ere</w:t>
      </w:r>
      <w:r w:rsidR="008C03DD">
        <w:rPr>
          <w:rFonts w:cstheme="minorHAnsi"/>
        </w:rPr>
        <w:t xml:space="preserve"> used to help </w:t>
      </w:r>
      <w:r w:rsidR="00356BEA">
        <w:rPr>
          <w:rFonts w:cstheme="minorHAnsi"/>
        </w:rPr>
        <w:t xml:space="preserve">reviewers assess the </w:t>
      </w:r>
      <w:r w:rsidR="00CB57AF">
        <w:rPr>
          <w:rFonts w:cstheme="minorHAnsi"/>
        </w:rPr>
        <w:t xml:space="preserve">competency </w:t>
      </w:r>
      <w:r w:rsidR="00D03366">
        <w:rPr>
          <w:rFonts w:cstheme="minorHAnsi"/>
        </w:rPr>
        <w:t xml:space="preserve">of </w:t>
      </w:r>
      <w:r w:rsidR="00447E78">
        <w:rPr>
          <w:rFonts w:cstheme="minorHAnsi"/>
        </w:rPr>
        <w:t>researchers.</w:t>
      </w:r>
    </w:p>
    <w:p w14:paraId="63DCC097" w14:textId="77777777" w:rsidR="00CE0C46" w:rsidRDefault="00CE0C46" w:rsidP="00CE0C46">
      <w:pPr>
        <w:rPr>
          <w:rFonts w:cstheme="minorHAnsi"/>
          <w:b/>
          <w:bCs/>
        </w:rPr>
      </w:pPr>
    </w:p>
    <w:p w14:paraId="26D55944" w14:textId="77777777" w:rsidR="00CE0C46" w:rsidRPr="004A3E70" w:rsidRDefault="00CE0C46" w:rsidP="00CE0C46">
      <w:pPr>
        <w:rPr>
          <w:rFonts w:cstheme="minorHAnsi"/>
          <w:b/>
          <w:bCs/>
          <w:color w:val="0B463D" w:themeColor="accent6"/>
        </w:rPr>
      </w:pPr>
      <w:r w:rsidRPr="004A3E70">
        <w:rPr>
          <w:rFonts w:cstheme="minorHAnsi"/>
          <w:b/>
          <w:bCs/>
          <w:color w:val="0B463D" w:themeColor="accent6"/>
        </w:rPr>
        <w:t>Why?</w:t>
      </w:r>
    </w:p>
    <w:p w14:paraId="61CE5B92" w14:textId="5DB10240" w:rsidR="00CE0C46" w:rsidRDefault="00AB221F" w:rsidP="00CE0C46">
      <w:pPr>
        <w:rPr>
          <w:rFonts w:cstheme="minorHAnsi"/>
        </w:rPr>
      </w:pPr>
      <w:r>
        <w:rPr>
          <w:rFonts w:cstheme="minorHAnsi"/>
        </w:rPr>
        <w:t>In BREC’s experience r</w:t>
      </w:r>
      <w:r w:rsidR="009F791B">
        <w:rPr>
          <w:rFonts w:cstheme="minorHAnsi"/>
        </w:rPr>
        <w:t>ese</w:t>
      </w:r>
      <w:r w:rsidR="004D4576">
        <w:rPr>
          <w:rFonts w:cstheme="minorHAnsi"/>
        </w:rPr>
        <w:t xml:space="preserve">archer CVs have </w:t>
      </w:r>
      <w:r w:rsidR="0089742A">
        <w:rPr>
          <w:rFonts w:cstheme="minorHAnsi"/>
        </w:rPr>
        <w:t xml:space="preserve">not been </w:t>
      </w:r>
      <w:r w:rsidR="001F7BBF">
        <w:rPr>
          <w:rFonts w:cstheme="minorHAnsi"/>
        </w:rPr>
        <w:t>helpful in</w:t>
      </w:r>
      <w:r w:rsidR="0089742A">
        <w:rPr>
          <w:rFonts w:cstheme="minorHAnsi"/>
        </w:rPr>
        <w:t xml:space="preserve"> </w:t>
      </w:r>
      <w:r w:rsidR="007045C0">
        <w:rPr>
          <w:rFonts w:cstheme="minorHAnsi"/>
        </w:rPr>
        <w:t>judg</w:t>
      </w:r>
      <w:r w:rsidR="001F7BBF">
        <w:rPr>
          <w:rFonts w:cstheme="minorHAnsi"/>
        </w:rPr>
        <w:t>ing</w:t>
      </w:r>
      <w:r w:rsidR="007045C0">
        <w:rPr>
          <w:rFonts w:cstheme="minorHAnsi"/>
        </w:rPr>
        <w:t xml:space="preserve"> researcher competence.</w:t>
      </w:r>
      <w:r w:rsidR="00F20D50">
        <w:rPr>
          <w:rFonts w:cstheme="minorHAnsi"/>
        </w:rPr>
        <w:t xml:space="preserve"> BREC</w:t>
      </w:r>
      <w:r w:rsidR="000B3798">
        <w:rPr>
          <w:rFonts w:cstheme="minorHAnsi"/>
        </w:rPr>
        <w:t xml:space="preserve"> </w:t>
      </w:r>
      <w:r w:rsidR="00253D7F">
        <w:rPr>
          <w:rFonts w:cstheme="minorHAnsi"/>
        </w:rPr>
        <w:t>make decisions</w:t>
      </w:r>
      <w:r w:rsidR="00500699">
        <w:rPr>
          <w:rFonts w:cstheme="minorHAnsi"/>
        </w:rPr>
        <w:t xml:space="preserve"> on the strength of the application</w:t>
      </w:r>
      <w:r w:rsidR="00253D7F">
        <w:rPr>
          <w:rFonts w:cstheme="minorHAnsi"/>
        </w:rPr>
        <w:t xml:space="preserve"> based on </w:t>
      </w:r>
      <w:r w:rsidR="00B74870">
        <w:rPr>
          <w:rFonts w:cstheme="minorHAnsi"/>
        </w:rPr>
        <w:t xml:space="preserve">the content in the </w:t>
      </w:r>
      <w:r w:rsidR="00CB396C">
        <w:rPr>
          <w:rFonts w:cstheme="minorHAnsi"/>
        </w:rPr>
        <w:t>A</w:t>
      </w:r>
      <w:r w:rsidR="00B74870">
        <w:rPr>
          <w:rFonts w:cstheme="minorHAnsi"/>
        </w:rPr>
        <w:t xml:space="preserve">pplication </w:t>
      </w:r>
      <w:r w:rsidR="00CB396C">
        <w:rPr>
          <w:rFonts w:cstheme="minorHAnsi"/>
        </w:rPr>
        <w:t>form</w:t>
      </w:r>
      <w:r w:rsidR="00937BA7">
        <w:rPr>
          <w:rFonts w:cstheme="minorHAnsi"/>
        </w:rPr>
        <w:t xml:space="preserve"> and</w:t>
      </w:r>
      <w:r w:rsidR="00A32BA5">
        <w:rPr>
          <w:rFonts w:cstheme="minorHAnsi"/>
        </w:rPr>
        <w:t xml:space="preserve"> CVs </w:t>
      </w:r>
      <w:r w:rsidR="00F60C9F">
        <w:rPr>
          <w:rFonts w:cstheme="minorHAnsi"/>
        </w:rPr>
        <w:t>could confuse</w:t>
      </w:r>
      <w:r w:rsidR="00112883">
        <w:rPr>
          <w:rFonts w:cstheme="minorHAnsi"/>
        </w:rPr>
        <w:t xml:space="preserve"> or influence</w:t>
      </w:r>
      <w:r w:rsidR="00F60C9F">
        <w:rPr>
          <w:rFonts w:cstheme="minorHAnsi"/>
        </w:rPr>
        <w:t xml:space="preserve"> decision</w:t>
      </w:r>
      <w:r w:rsidR="00CF4B39">
        <w:rPr>
          <w:rFonts w:cstheme="minorHAnsi"/>
        </w:rPr>
        <w:t xml:space="preserve"> </w:t>
      </w:r>
      <w:r w:rsidR="00CF4B39">
        <w:rPr>
          <w:rFonts w:cstheme="minorHAnsi"/>
        </w:rPr>
        <w:lastRenderedPageBreak/>
        <w:t>making</w:t>
      </w:r>
      <w:r w:rsidR="00CE5979">
        <w:rPr>
          <w:rFonts w:cstheme="minorHAnsi"/>
        </w:rPr>
        <w:t>.</w:t>
      </w:r>
      <w:r w:rsidR="00CB396C">
        <w:rPr>
          <w:rFonts w:cstheme="minorHAnsi"/>
        </w:rPr>
        <w:t xml:space="preserve"> </w:t>
      </w:r>
      <w:r w:rsidR="00315F52">
        <w:rPr>
          <w:rFonts w:cstheme="minorHAnsi"/>
        </w:rPr>
        <w:t xml:space="preserve">BREC still require researchers to provide information about their </w:t>
      </w:r>
      <w:r w:rsidR="00D77FF8">
        <w:rPr>
          <w:rFonts w:cstheme="minorHAnsi"/>
        </w:rPr>
        <w:t>training, experience</w:t>
      </w:r>
      <w:r w:rsidR="0032013B">
        <w:rPr>
          <w:rFonts w:cstheme="minorHAnsi"/>
        </w:rPr>
        <w:t xml:space="preserve">, qualifications and the policies they </w:t>
      </w:r>
      <w:r w:rsidR="00DD5E80">
        <w:rPr>
          <w:rFonts w:cstheme="minorHAnsi"/>
        </w:rPr>
        <w:t>plan to</w:t>
      </w:r>
      <w:r w:rsidR="0032013B">
        <w:rPr>
          <w:rFonts w:cstheme="minorHAnsi"/>
        </w:rPr>
        <w:t xml:space="preserve"> follow when conducting their research, </w:t>
      </w:r>
      <w:r w:rsidR="00B505CF">
        <w:rPr>
          <w:rFonts w:cstheme="minorHAnsi"/>
        </w:rPr>
        <w:t xml:space="preserve">but not in a CV format. </w:t>
      </w:r>
    </w:p>
    <w:p w14:paraId="082C0C96" w14:textId="77777777" w:rsidR="00DD5E80" w:rsidRDefault="00DD5E80" w:rsidP="00CE0C46">
      <w:pPr>
        <w:rPr>
          <w:rFonts w:cstheme="minorHAnsi"/>
        </w:rPr>
      </w:pPr>
    </w:p>
    <w:p w14:paraId="2F5650E7" w14:textId="3AA4DC23" w:rsidR="00DD5E80" w:rsidRPr="004A3E70" w:rsidRDefault="007B15C9" w:rsidP="00DD5E80">
      <w:pPr>
        <w:pStyle w:val="Heading2"/>
        <w:rPr>
          <w:color w:val="FF955A" w:themeColor="accent3"/>
        </w:rPr>
      </w:pPr>
      <w:r>
        <w:rPr>
          <w:color w:val="FF955A" w:themeColor="accent3"/>
        </w:rPr>
        <w:t xml:space="preserve">The </w:t>
      </w:r>
      <w:r w:rsidR="00DD5E80" w:rsidRPr="004A3E70">
        <w:rPr>
          <w:color w:val="FF955A" w:themeColor="accent3"/>
        </w:rPr>
        <w:t xml:space="preserve">BREC </w:t>
      </w:r>
      <w:r>
        <w:rPr>
          <w:color w:val="FF955A" w:themeColor="accent3"/>
        </w:rPr>
        <w:t xml:space="preserve">Application form and </w:t>
      </w:r>
      <w:r w:rsidR="00226FBB">
        <w:rPr>
          <w:color w:val="FF955A" w:themeColor="accent3"/>
        </w:rPr>
        <w:t xml:space="preserve">Guidance for Applicants form has </w:t>
      </w:r>
      <w:r w:rsidR="00260E24">
        <w:rPr>
          <w:color w:val="FF955A" w:themeColor="accent3"/>
        </w:rPr>
        <w:t xml:space="preserve">been combined </w:t>
      </w:r>
    </w:p>
    <w:p w14:paraId="1D6A6C09" w14:textId="349340E7" w:rsidR="00DD5E80" w:rsidRPr="004A3E70" w:rsidRDefault="00922A2D" w:rsidP="00DD5E80">
      <w:pPr>
        <w:rPr>
          <w:rFonts w:cstheme="minorHAnsi"/>
        </w:rPr>
      </w:pPr>
      <w:r>
        <w:rPr>
          <w:rFonts w:cstheme="minorHAnsi"/>
        </w:rPr>
        <w:t>The B_</w:t>
      </w:r>
      <w:r w:rsidR="00DD5E80">
        <w:rPr>
          <w:rFonts w:cstheme="minorHAnsi"/>
        </w:rPr>
        <w:t xml:space="preserve">BREC </w:t>
      </w:r>
      <w:r>
        <w:rPr>
          <w:rFonts w:cstheme="minorHAnsi"/>
        </w:rPr>
        <w:t xml:space="preserve">Application from and </w:t>
      </w:r>
      <w:r w:rsidR="00A95A8D">
        <w:rPr>
          <w:rFonts w:cstheme="minorHAnsi"/>
        </w:rPr>
        <w:t>C_</w:t>
      </w:r>
      <w:r w:rsidR="00A86E56">
        <w:rPr>
          <w:rFonts w:cstheme="minorHAnsi"/>
        </w:rPr>
        <w:t>Guidance for Applicants forms use to be 2 form</w:t>
      </w:r>
      <w:r w:rsidR="00A95A8D">
        <w:rPr>
          <w:rFonts w:cstheme="minorHAnsi"/>
        </w:rPr>
        <w:t xml:space="preserve">s that had to </w:t>
      </w:r>
      <w:r w:rsidR="003D5A76">
        <w:rPr>
          <w:rFonts w:cstheme="minorHAnsi"/>
        </w:rPr>
        <w:t xml:space="preserve">opened and </w:t>
      </w:r>
      <w:r w:rsidR="00A95A8D">
        <w:rPr>
          <w:rFonts w:cstheme="minorHAnsi"/>
        </w:rPr>
        <w:t xml:space="preserve">downloaded </w:t>
      </w:r>
      <w:r w:rsidR="003D5A76">
        <w:rPr>
          <w:rFonts w:cstheme="minorHAnsi"/>
        </w:rPr>
        <w:t xml:space="preserve">and </w:t>
      </w:r>
      <w:r w:rsidR="00876E11">
        <w:rPr>
          <w:rFonts w:cstheme="minorHAnsi"/>
        </w:rPr>
        <w:t>separately</w:t>
      </w:r>
      <w:r w:rsidR="003D5A76">
        <w:rPr>
          <w:rFonts w:cstheme="minorHAnsi"/>
        </w:rPr>
        <w:t xml:space="preserve">. </w:t>
      </w:r>
    </w:p>
    <w:p w14:paraId="16BF5F00" w14:textId="77777777" w:rsidR="00DD5E80" w:rsidRDefault="00DD5E80" w:rsidP="00DD5E80">
      <w:pPr>
        <w:rPr>
          <w:rFonts w:cstheme="minorHAnsi"/>
          <w:b/>
          <w:bCs/>
        </w:rPr>
      </w:pPr>
    </w:p>
    <w:p w14:paraId="46AC52A6" w14:textId="77777777" w:rsidR="00DD5E80" w:rsidRPr="004A3E70" w:rsidRDefault="00DD5E80" w:rsidP="00DD5E80">
      <w:pPr>
        <w:rPr>
          <w:rFonts w:cstheme="minorHAnsi"/>
          <w:b/>
          <w:bCs/>
          <w:color w:val="0B463D" w:themeColor="accent6"/>
        </w:rPr>
      </w:pPr>
      <w:r w:rsidRPr="004A3E70">
        <w:rPr>
          <w:rFonts w:cstheme="minorHAnsi"/>
          <w:b/>
          <w:bCs/>
          <w:color w:val="0B463D" w:themeColor="accent6"/>
        </w:rPr>
        <w:t>Why?</w:t>
      </w:r>
    </w:p>
    <w:p w14:paraId="5A1CEE84" w14:textId="5DB17E8D" w:rsidR="00DD5E80" w:rsidRDefault="00CE16DD" w:rsidP="00CE0C46">
      <w:pPr>
        <w:rPr>
          <w:rFonts w:cstheme="minorHAnsi"/>
        </w:rPr>
      </w:pPr>
      <w:r>
        <w:rPr>
          <w:rFonts w:cstheme="minorHAnsi"/>
        </w:rPr>
        <w:t xml:space="preserve">To improve the user experience </w:t>
      </w:r>
      <w:r w:rsidR="00D83194">
        <w:rPr>
          <w:rFonts w:cstheme="minorHAnsi"/>
        </w:rPr>
        <w:t xml:space="preserve">for researchers </w:t>
      </w:r>
      <w:r>
        <w:rPr>
          <w:rFonts w:cstheme="minorHAnsi"/>
        </w:rPr>
        <w:t xml:space="preserve">and expediate the process of </w:t>
      </w:r>
      <w:r w:rsidR="008B0A4B">
        <w:rPr>
          <w:rFonts w:cstheme="minorHAnsi"/>
        </w:rPr>
        <w:t xml:space="preserve">completing </w:t>
      </w:r>
      <w:r w:rsidR="00D83194">
        <w:rPr>
          <w:rFonts w:cstheme="minorHAnsi"/>
        </w:rPr>
        <w:t>the</w:t>
      </w:r>
      <w:r w:rsidR="008B0A4B">
        <w:rPr>
          <w:rFonts w:cstheme="minorHAnsi"/>
        </w:rPr>
        <w:t xml:space="preserve"> BREC </w:t>
      </w:r>
      <w:r w:rsidR="00D83194">
        <w:rPr>
          <w:rFonts w:cstheme="minorHAnsi"/>
        </w:rPr>
        <w:t>A</w:t>
      </w:r>
      <w:r w:rsidR="008B0A4B">
        <w:rPr>
          <w:rFonts w:cstheme="minorHAnsi"/>
        </w:rPr>
        <w:t>pplication form</w:t>
      </w:r>
      <w:r w:rsidR="00041E67">
        <w:rPr>
          <w:rFonts w:cstheme="minorHAnsi"/>
        </w:rPr>
        <w:t xml:space="preserve">, the </w:t>
      </w:r>
      <w:r w:rsidR="00041E67">
        <w:rPr>
          <w:rFonts w:cstheme="minorHAnsi"/>
        </w:rPr>
        <w:t xml:space="preserve"> B_BREC Application fo</w:t>
      </w:r>
      <w:r w:rsidR="00B37CA6">
        <w:rPr>
          <w:rFonts w:cstheme="minorHAnsi"/>
        </w:rPr>
        <w:t>r</w:t>
      </w:r>
      <w:r w:rsidR="00041E67">
        <w:rPr>
          <w:rFonts w:cstheme="minorHAnsi"/>
        </w:rPr>
        <w:t>m and C_Guidance for Applicants</w:t>
      </w:r>
      <w:r w:rsidR="00041E67">
        <w:rPr>
          <w:rFonts w:cstheme="minorHAnsi"/>
        </w:rPr>
        <w:t xml:space="preserve"> have been combined into 1 document</w:t>
      </w:r>
      <w:r w:rsidR="00B37CA6">
        <w:rPr>
          <w:rFonts w:cstheme="minorHAnsi"/>
        </w:rPr>
        <w:t xml:space="preserve">, </w:t>
      </w:r>
      <w:r w:rsidR="00455622">
        <w:rPr>
          <w:rFonts w:cstheme="minorHAnsi"/>
        </w:rPr>
        <w:t xml:space="preserve">the </w:t>
      </w:r>
      <w:r w:rsidR="00B37CA6">
        <w:rPr>
          <w:rFonts w:cstheme="minorHAnsi"/>
        </w:rPr>
        <w:t xml:space="preserve">B_BREC Application </w:t>
      </w:r>
      <w:r w:rsidR="0024542B">
        <w:rPr>
          <w:rFonts w:cstheme="minorHAnsi"/>
        </w:rPr>
        <w:t xml:space="preserve">form. </w:t>
      </w:r>
    </w:p>
    <w:p w14:paraId="0019C9F9" w14:textId="77777777" w:rsidR="004A3E70" w:rsidRDefault="004A3E70" w:rsidP="004A3E70">
      <w:pPr>
        <w:rPr>
          <w:rFonts w:cstheme="minorHAnsi"/>
        </w:rPr>
      </w:pPr>
    </w:p>
    <w:p w14:paraId="46AEED54" w14:textId="77777777" w:rsidR="004A3E70" w:rsidRPr="004A3E70" w:rsidRDefault="004A3E70" w:rsidP="004A3E70">
      <w:pPr>
        <w:pStyle w:val="Heading2"/>
        <w:rPr>
          <w:color w:val="FF955A" w:themeColor="accent3"/>
        </w:rPr>
      </w:pPr>
      <w:r w:rsidRPr="004A3E70">
        <w:rPr>
          <w:color w:val="FF955A" w:themeColor="accent3"/>
        </w:rPr>
        <w:t>Further Changes</w:t>
      </w:r>
    </w:p>
    <w:p w14:paraId="0B600167" w14:textId="1ADA4941" w:rsidR="004A3E70" w:rsidRPr="00F16B3D" w:rsidRDefault="004A3E70" w:rsidP="004A3E70">
      <w:pPr>
        <w:rPr>
          <w:rFonts w:cstheme="minorHAnsi"/>
        </w:rPr>
      </w:pPr>
      <w:r w:rsidRPr="00F16B3D">
        <w:rPr>
          <w:rFonts w:cstheme="minorHAnsi"/>
        </w:rPr>
        <w:t xml:space="preserve">Further </w:t>
      </w:r>
      <w:r>
        <w:rPr>
          <w:rFonts w:cstheme="minorHAnsi"/>
        </w:rPr>
        <w:t xml:space="preserve">changes </w:t>
      </w:r>
      <w:r w:rsidRPr="00F16B3D">
        <w:rPr>
          <w:rFonts w:cstheme="minorHAnsi"/>
        </w:rPr>
        <w:t xml:space="preserve">to BREC </w:t>
      </w:r>
      <w:r>
        <w:rPr>
          <w:rFonts w:cstheme="minorHAnsi"/>
        </w:rPr>
        <w:t>are</w:t>
      </w:r>
      <w:r w:rsidRPr="00F16B3D">
        <w:rPr>
          <w:rFonts w:cstheme="minorHAnsi"/>
        </w:rPr>
        <w:t xml:space="preserve"> expected</w:t>
      </w:r>
      <w:r>
        <w:rPr>
          <w:rFonts w:cstheme="minorHAnsi"/>
        </w:rPr>
        <w:t xml:space="preserve"> as part of Phase 2 and 3 of the review of BREC. The above-mentioned changes are based on Phase 1 of the review that looked at BREC’s remit and scope. Phase 2 will look at BREC’s processes and Phase 3 will look at how BREC manages its reviewers.</w:t>
      </w:r>
    </w:p>
    <w:p w14:paraId="3670FC2E" w14:textId="77C2D76A" w:rsidR="00B7039C" w:rsidRDefault="00B7039C" w:rsidP="00F75512"/>
    <w:sectPr w:rsidR="00B7039C" w:rsidSect="007E574C">
      <w:headerReference w:type="default" r:id="rId12"/>
      <w:footerReference w:type="default" r:id="rId13"/>
      <w:headerReference w:type="first" r:id="rId14"/>
      <w:footerReference w:type="first" r:id="rId15"/>
      <w:pgSz w:w="11906" w:h="16838" w:code="9"/>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78EC" w14:textId="77777777" w:rsidR="007E574C" w:rsidRDefault="007E574C" w:rsidP="007C2C99">
      <w:r>
        <w:separator/>
      </w:r>
    </w:p>
  </w:endnote>
  <w:endnote w:type="continuationSeparator" w:id="0">
    <w:p w14:paraId="3C7B8378" w14:textId="77777777" w:rsidR="007E574C" w:rsidRDefault="007E574C" w:rsidP="007C2C99">
      <w:r>
        <w:continuationSeparator/>
      </w:r>
    </w:p>
  </w:endnote>
  <w:endnote w:id="1">
    <w:p w14:paraId="3021270D" w14:textId="3B3737CB" w:rsidR="004A3E70" w:rsidRPr="004A3E70" w:rsidRDefault="004A3E70" w:rsidP="004A3E70">
      <w:pPr>
        <w:rPr>
          <w:color w:val="808080" w:themeColor="background1" w:themeShade="80"/>
          <w:sz w:val="18"/>
          <w:szCs w:val="18"/>
        </w:rPr>
      </w:pPr>
      <w:r w:rsidRPr="004A3E70">
        <w:rPr>
          <w:rStyle w:val="EndnoteReference"/>
          <w:color w:val="808080" w:themeColor="background1" w:themeShade="80"/>
          <w:sz w:val="16"/>
          <w:szCs w:val="16"/>
        </w:rPr>
        <w:endnoteRef/>
      </w:r>
      <w:r w:rsidRPr="004A3E70">
        <w:rPr>
          <w:color w:val="808080" w:themeColor="background1" w:themeShade="80"/>
          <w:sz w:val="18"/>
          <w:szCs w:val="18"/>
        </w:rPr>
        <w:t xml:space="preserve"> BREC Terms of Reference</w:t>
      </w:r>
    </w:p>
  </w:endnote>
  <w:endnote w:id="2">
    <w:p w14:paraId="02E3F997" w14:textId="4E8ABB10" w:rsidR="004A3E70" w:rsidRDefault="004A3E70" w:rsidP="004A3E70">
      <w:r w:rsidRPr="004A3E70">
        <w:rPr>
          <w:rStyle w:val="EndnoteReference"/>
          <w:color w:val="808080" w:themeColor="background1" w:themeShade="80"/>
          <w:sz w:val="16"/>
          <w:szCs w:val="16"/>
        </w:rPr>
        <w:endnoteRef/>
      </w:r>
      <w:r w:rsidRPr="004A3E70">
        <w:rPr>
          <w:color w:val="808080" w:themeColor="background1" w:themeShade="80"/>
          <w:sz w:val="18"/>
          <w:szCs w:val="18"/>
        </w:rPr>
        <w:t xml:space="preserve"> BREC Service User Insight Checklist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2B1B" w14:textId="77777777" w:rsidR="00162453" w:rsidRPr="00162453" w:rsidRDefault="00BB779A">
    <w:pPr>
      <w:pStyle w:val="Footer"/>
      <w:rPr>
        <w:color w:val="808080" w:themeColor="background1" w:themeShade="80"/>
        <w:szCs w:val="12"/>
      </w:rPr>
    </w:pPr>
    <w:r w:rsidRPr="00162453">
      <w:rPr>
        <w:noProof/>
        <w:color w:val="808080" w:themeColor="background1" w:themeShade="80"/>
        <w:szCs w:val="12"/>
      </w:rPr>
      <w:drawing>
        <wp:anchor distT="0" distB="0" distL="114300" distR="114300" simplePos="0" relativeHeight="251659264" behindDoc="0" locked="0" layoutInCell="1" allowOverlap="1" wp14:anchorId="1409B45B" wp14:editId="23329B49">
          <wp:simplePos x="0" y="0"/>
          <wp:positionH relativeFrom="page">
            <wp:align>right</wp:align>
          </wp:positionH>
          <wp:positionV relativeFrom="paragraph">
            <wp:posOffset>-105410</wp:posOffset>
          </wp:positionV>
          <wp:extent cx="865505" cy="489585"/>
          <wp:effectExtent l="0" t="0" r="0" b="0"/>
          <wp:wrapThrough wrapText="bothSides">
            <wp:wrapPolygon edited="0">
              <wp:start x="15213" y="0"/>
              <wp:lineTo x="951" y="2521"/>
              <wp:lineTo x="951" y="10086"/>
              <wp:lineTo x="9033" y="15128"/>
              <wp:lineTo x="9033" y="16809"/>
              <wp:lineTo x="15689" y="18490"/>
              <wp:lineTo x="18066" y="18490"/>
              <wp:lineTo x="19017" y="15128"/>
              <wp:lineTo x="19017" y="5883"/>
              <wp:lineTo x="18066" y="0"/>
              <wp:lineTo x="15213" y="0"/>
            </wp:wrapPolygon>
          </wp:wrapThrough>
          <wp:docPr id="9547319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1361" name="Picture 1" descr="A black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489585"/>
                  </a:xfrm>
                  <a:prstGeom prst="rect">
                    <a:avLst/>
                  </a:prstGeom>
                  <a:noFill/>
                  <a:ln>
                    <a:noFill/>
                  </a:ln>
                </pic:spPr>
              </pic:pic>
            </a:graphicData>
          </a:graphic>
        </wp:anchor>
      </w:drawing>
    </w:r>
    <w:r w:rsidR="007C2C99" w:rsidRPr="00162453">
      <w:rPr>
        <w:color w:val="808080" w:themeColor="background1" w:themeShade="80"/>
        <w:szCs w:val="12"/>
      </w:rPr>
      <w:t>Barnardo’s is a registered charity in England and Wales 216250 and in Scotland SC037065, and a company limited by guarantee [61625 England].</w:t>
    </w:r>
  </w:p>
  <w:p w14:paraId="24A0FE48" w14:textId="3305900A" w:rsidR="007C2C99" w:rsidRDefault="007C2C99">
    <w:pPr>
      <w:pStyle w:val="Footer"/>
    </w:pPr>
    <w:r>
      <w:ptab w:relativeTo="margin" w:alignment="right" w:leader="none"/>
    </w:r>
    <w:r>
      <w:fldChar w:fldCharType="begin"/>
    </w:r>
    <w:r>
      <w:instrText xml:space="preserve"> PAGE  \* Arabic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C0E0" w14:textId="5BA71962" w:rsidR="00102A41" w:rsidRDefault="00102A41" w:rsidP="00102A41">
    <w:pPr>
      <w:pStyle w:val="BodyText"/>
      <w:spacing w:after="0" w:line="480" w:lineRule="auto"/>
      <w:rPr>
        <w:rFonts w:eastAsiaTheme="majorEastAsia" w:cstheme="majorBidi"/>
        <w:color w:val="D9D9D9" w:themeColor="background1" w:themeShade="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F335" w14:textId="77777777" w:rsidR="007E574C" w:rsidRDefault="007E574C" w:rsidP="007C2C99">
      <w:r>
        <w:separator/>
      </w:r>
    </w:p>
  </w:footnote>
  <w:footnote w:type="continuationSeparator" w:id="0">
    <w:p w14:paraId="595A485D" w14:textId="77777777" w:rsidR="007E574C" w:rsidRDefault="007E574C" w:rsidP="007C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877" w14:textId="53ADA163" w:rsidR="007C2C99" w:rsidRDefault="007C2C99" w:rsidP="00BB33FE">
    <w:pPr>
      <w:pStyle w:val="Header"/>
    </w:pPr>
    <w:r w:rsidRPr="00BB33FE">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458B" w14:textId="00529469" w:rsidR="00102A41" w:rsidRDefault="008C1B94" w:rsidP="00102A41">
    <w:pPr>
      <w:pStyle w:val="BodyText"/>
      <w:tabs>
        <w:tab w:val="left" w:pos="4021"/>
      </w:tabs>
      <w:spacing w:after="0" w:line="480" w:lineRule="auto"/>
      <w:rPr>
        <w:rFonts w:eastAsiaTheme="majorEastAsia" w:cstheme="majorBidi"/>
        <w:color w:val="D9D9D9" w:themeColor="background1" w:themeShade="D9"/>
        <w:sz w:val="16"/>
        <w:szCs w:val="16"/>
      </w:rPr>
    </w:pPr>
    <w:r>
      <w:rPr>
        <w:rFonts w:asciiTheme="majorHAnsi" w:eastAsiaTheme="majorEastAsia" w:hAnsiTheme="majorHAnsi" w:cstheme="majorBidi"/>
        <w:noProof/>
        <w:sz w:val="40"/>
        <w:szCs w:val="32"/>
      </w:rPr>
      <w:drawing>
        <wp:anchor distT="0" distB="0" distL="114300" distR="114300" simplePos="0" relativeHeight="251661312" behindDoc="1" locked="0" layoutInCell="1" allowOverlap="1" wp14:anchorId="7B143B42" wp14:editId="394234CC">
          <wp:simplePos x="0" y="0"/>
          <wp:positionH relativeFrom="column">
            <wp:posOffset>-310101</wp:posOffset>
          </wp:positionH>
          <wp:positionV relativeFrom="paragraph">
            <wp:posOffset>-222636</wp:posOffset>
          </wp:positionV>
          <wp:extent cx="1530985" cy="638175"/>
          <wp:effectExtent l="0" t="0" r="0" b="9525"/>
          <wp:wrapNone/>
          <wp:docPr id="1758038318"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335161" name="Picture 1" descr="A black background with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38175"/>
                  </a:xfrm>
                  <a:prstGeom prst="rect">
                    <a:avLst/>
                  </a:prstGeom>
                  <a:noFill/>
                  <a:ln>
                    <a:noFill/>
                  </a:ln>
                </pic:spPr>
              </pic:pic>
            </a:graphicData>
          </a:graphic>
        </wp:anchor>
      </w:drawing>
    </w:r>
    <w:r w:rsidR="00102A41">
      <w:rPr>
        <w:rFonts w:eastAsiaTheme="majorEastAsia" w:cstheme="majorBidi"/>
        <w:color w:val="D9D9D9" w:themeColor="background1" w:themeShade="D9"/>
        <w:sz w:val="16"/>
        <w:szCs w:val="16"/>
      </w:rPr>
      <w:tab/>
    </w:r>
  </w:p>
  <w:p w14:paraId="0F84D25E" w14:textId="77777777" w:rsidR="00102A41" w:rsidRPr="006B6B63" w:rsidRDefault="00102A41" w:rsidP="00102A41">
    <w:pPr>
      <w:pStyle w:val="BodyText"/>
      <w:tabs>
        <w:tab w:val="left" w:pos="4021"/>
      </w:tabs>
      <w:spacing w:after="0" w:line="480" w:lineRule="auto"/>
      <w:rPr>
        <w:rFonts w:eastAsiaTheme="majorEastAsia" w:cstheme="majorBidi"/>
        <w:color w:val="D9D9D9" w:themeColor="background1" w:themeShade="D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8836F9"/>
    <w:multiLevelType w:val="multilevel"/>
    <w:tmpl w:val="8D46323A"/>
    <w:numStyleLink w:val="HeadingNumList"/>
  </w:abstractNum>
  <w:abstractNum w:abstractNumId="9" w15:restartNumberingAfterBreak="0">
    <w:nsid w:val="08A30335"/>
    <w:multiLevelType w:val="hybridMultilevel"/>
    <w:tmpl w:val="C7B6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92DE1"/>
    <w:multiLevelType w:val="multilevel"/>
    <w:tmpl w:val="B88C6228"/>
    <w:numStyleLink w:val="NumList"/>
  </w:abstractNum>
  <w:abstractNum w:abstractNumId="11" w15:restartNumberingAfterBreak="0">
    <w:nsid w:val="11854619"/>
    <w:multiLevelType w:val="hybridMultilevel"/>
    <w:tmpl w:val="2CA8AF8A"/>
    <w:lvl w:ilvl="0" w:tplc="6388AE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10158F5"/>
    <w:multiLevelType w:val="multilevel"/>
    <w:tmpl w:val="8D46323A"/>
    <w:numStyleLink w:val="HeadingNumList"/>
  </w:abstractNum>
  <w:abstractNum w:abstractNumId="14"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30101C3E"/>
    <w:multiLevelType w:val="multilevel"/>
    <w:tmpl w:val="8D46323A"/>
    <w:numStyleLink w:val="HeadingNumList"/>
  </w:abstractNum>
  <w:abstractNum w:abstractNumId="16" w15:restartNumberingAfterBreak="0">
    <w:nsid w:val="30A01E05"/>
    <w:multiLevelType w:val="hybridMultilevel"/>
    <w:tmpl w:val="8F9AA5EA"/>
    <w:lvl w:ilvl="0" w:tplc="3CE48BBA">
      <w:numFmt w:val="bullet"/>
      <w:lvlText w:val="-"/>
      <w:lvlJc w:val="left"/>
      <w:pPr>
        <w:ind w:left="198" w:hanging="198"/>
      </w:pPr>
      <w:rPr>
        <w:rFonts w:ascii="Calibri" w:eastAsiaTheme="minorHAns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AA87344"/>
    <w:multiLevelType w:val="multilevel"/>
    <w:tmpl w:val="8D46323A"/>
    <w:styleLink w:val="HeadingNumList"/>
    <w:lvl w:ilvl="0">
      <w:start w:val="1"/>
      <w:numFmt w:val="decimal"/>
      <w:pStyle w:val="Heading2numbered"/>
      <w:lvlText w:val="%1."/>
      <w:lvlJc w:val="left"/>
      <w:pPr>
        <w:ind w:left="567" w:hanging="567"/>
      </w:pPr>
      <w:rPr>
        <w:rFonts w:hint="default"/>
      </w:rPr>
    </w:lvl>
    <w:lvl w:ilvl="1">
      <w:start w:val="1"/>
      <w:numFmt w:val="decimal"/>
      <w:pStyle w:val="Bodytextnumbered"/>
      <w:lvlText w:val="%1.%2"/>
      <w:lvlJc w:val="left"/>
      <w:pPr>
        <w:ind w:left="567" w:hanging="567"/>
      </w:pPr>
      <w:rPr>
        <w:rFonts w:hint="default"/>
      </w:rPr>
    </w:lvl>
    <w:lvl w:ilvl="2">
      <w:start w:val="1"/>
      <w:numFmt w:val="decimal"/>
      <w:pStyle w:val="Bodytextnumberedindented"/>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77061C"/>
    <w:multiLevelType w:val="multilevel"/>
    <w:tmpl w:val="52C26148"/>
    <w:numStyleLink w:val="ArticleSection"/>
  </w:abstractNum>
  <w:abstractNum w:abstractNumId="19"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4E67D1"/>
    <w:multiLevelType w:val="hybridMultilevel"/>
    <w:tmpl w:val="92A2F57A"/>
    <w:lvl w:ilvl="0" w:tplc="1F461F32">
      <w:numFmt w:val="bullet"/>
      <w:lvlText w:val="-"/>
      <w:lvlJc w:val="left"/>
      <w:pPr>
        <w:ind w:left="198" w:hanging="198"/>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623B8E"/>
    <w:multiLevelType w:val="hybridMultilevel"/>
    <w:tmpl w:val="E5744B02"/>
    <w:lvl w:ilvl="0" w:tplc="A9A258B0">
      <w:numFmt w:val="bullet"/>
      <w:lvlText w:val="-"/>
      <w:lvlJc w:val="left"/>
      <w:pPr>
        <w:ind w:left="198" w:hanging="198"/>
      </w:pPr>
      <w:rPr>
        <w:rFonts w:ascii="Proxima Nova" w:eastAsia="Arial" w:hAnsi="Proxima Nova" w:cs="Arial" w:hint="default"/>
        <w:b w:val="0"/>
        <w:color w:val="AA9EFF" w:themeColor="accen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572300"/>
    <w:multiLevelType w:val="hybridMultilevel"/>
    <w:tmpl w:val="C6F650A0"/>
    <w:lvl w:ilvl="0" w:tplc="6388AE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5B410F"/>
    <w:multiLevelType w:val="multilevel"/>
    <w:tmpl w:val="A4D0271A"/>
    <w:numStyleLink w:val="BulletList"/>
  </w:abstractNum>
  <w:abstractNum w:abstractNumId="25" w15:restartNumberingAfterBreak="0">
    <w:nsid w:val="7EB527E2"/>
    <w:multiLevelType w:val="hybridMultilevel"/>
    <w:tmpl w:val="8DCC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19"/>
  </w:num>
  <w:num w:numId="8" w16cid:durableId="554775974">
    <w:abstractNumId w:val="17"/>
  </w:num>
  <w:num w:numId="9" w16cid:durableId="574555077">
    <w:abstractNumId w:val="8"/>
  </w:num>
  <w:num w:numId="10" w16cid:durableId="713700014">
    <w:abstractNumId w:val="10"/>
  </w:num>
  <w:num w:numId="11" w16cid:durableId="655383151">
    <w:abstractNumId w:val="7"/>
  </w:num>
  <w:num w:numId="12" w16cid:durableId="559054489">
    <w:abstractNumId w:val="10"/>
  </w:num>
  <w:num w:numId="13" w16cid:durableId="2056078209">
    <w:abstractNumId w:val="5"/>
  </w:num>
  <w:num w:numId="14" w16cid:durableId="181285137">
    <w:abstractNumId w:val="4"/>
  </w:num>
  <w:num w:numId="15" w16cid:durableId="1581449739">
    <w:abstractNumId w:val="10"/>
  </w:num>
  <w:num w:numId="16" w16cid:durableId="1072657298">
    <w:abstractNumId w:val="10"/>
  </w:num>
  <w:num w:numId="17" w16cid:durableId="726606638">
    <w:abstractNumId w:val="19"/>
  </w:num>
  <w:num w:numId="18" w16cid:durableId="1119833186">
    <w:abstractNumId w:val="17"/>
  </w:num>
  <w:num w:numId="19" w16cid:durableId="157768813">
    <w:abstractNumId w:val="12"/>
  </w:num>
  <w:num w:numId="20" w16cid:durableId="813371553">
    <w:abstractNumId w:val="20"/>
  </w:num>
  <w:num w:numId="21" w16cid:durableId="717705115">
    <w:abstractNumId w:val="14"/>
  </w:num>
  <w:num w:numId="22" w16cid:durableId="1031691104">
    <w:abstractNumId w:val="3"/>
  </w:num>
  <w:num w:numId="23" w16cid:durableId="501629753">
    <w:abstractNumId w:val="2"/>
  </w:num>
  <w:num w:numId="24" w16cid:durableId="596445716">
    <w:abstractNumId w:val="18"/>
  </w:num>
  <w:num w:numId="25" w16cid:durableId="464858224">
    <w:abstractNumId w:val="24"/>
  </w:num>
  <w:num w:numId="26" w16cid:durableId="803474316">
    <w:abstractNumId w:val="15"/>
  </w:num>
  <w:num w:numId="27" w16cid:durableId="92747633">
    <w:abstractNumId w:val="13"/>
  </w:num>
  <w:num w:numId="28" w16cid:durableId="748037001">
    <w:abstractNumId w:val="25"/>
  </w:num>
  <w:num w:numId="29" w16cid:durableId="1605578801">
    <w:abstractNumId w:val="16"/>
  </w:num>
  <w:num w:numId="30" w16cid:durableId="1277251894">
    <w:abstractNumId w:val="21"/>
  </w:num>
  <w:num w:numId="31" w16cid:durableId="686447253">
    <w:abstractNumId w:val="22"/>
  </w:num>
  <w:num w:numId="32" w16cid:durableId="1617785555">
    <w:abstractNumId w:val="23"/>
  </w:num>
  <w:num w:numId="33" w16cid:durableId="262878231">
    <w:abstractNumId w:val="11"/>
  </w:num>
  <w:num w:numId="34" w16cid:durableId="625935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2"/>
    <w:rsid w:val="000171B9"/>
    <w:rsid w:val="000237DE"/>
    <w:rsid w:val="00034DF7"/>
    <w:rsid w:val="00037583"/>
    <w:rsid w:val="00037B26"/>
    <w:rsid w:val="00041E67"/>
    <w:rsid w:val="00054B6B"/>
    <w:rsid w:val="000933E7"/>
    <w:rsid w:val="000944CF"/>
    <w:rsid w:val="000A3D76"/>
    <w:rsid w:val="000B135D"/>
    <w:rsid w:val="000B3798"/>
    <w:rsid w:val="000D198A"/>
    <w:rsid w:val="000E4DB6"/>
    <w:rsid w:val="00102A41"/>
    <w:rsid w:val="00112883"/>
    <w:rsid w:val="001210B1"/>
    <w:rsid w:val="00157692"/>
    <w:rsid w:val="00162453"/>
    <w:rsid w:val="00182501"/>
    <w:rsid w:val="001836D9"/>
    <w:rsid w:val="001B756D"/>
    <w:rsid w:val="001D4510"/>
    <w:rsid w:val="001F7BBF"/>
    <w:rsid w:val="00224F47"/>
    <w:rsid w:val="00225F50"/>
    <w:rsid w:val="00226FBB"/>
    <w:rsid w:val="0024542B"/>
    <w:rsid w:val="00253D7F"/>
    <w:rsid w:val="00260E24"/>
    <w:rsid w:val="0027309C"/>
    <w:rsid w:val="002B729F"/>
    <w:rsid w:val="002B7BA1"/>
    <w:rsid w:val="002F1458"/>
    <w:rsid w:val="002F4BF2"/>
    <w:rsid w:val="002F6B41"/>
    <w:rsid w:val="00315F52"/>
    <w:rsid w:val="0032013B"/>
    <w:rsid w:val="00321B73"/>
    <w:rsid w:val="00332B31"/>
    <w:rsid w:val="00356BEA"/>
    <w:rsid w:val="00371700"/>
    <w:rsid w:val="003818F0"/>
    <w:rsid w:val="003B398D"/>
    <w:rsid w:val="003C30EA"/>
    <w:rsid w:val="003C78A1"/>
    <w:rsid w:val="003D0EC7"/>
    <w:rsid w:val="003D2A1C"/>
    <w:rsid w:val="003D5A76"/>
    <w:rsid w:val="003E4A11"/>
    <w:rsid w:val="003E5CDF"/>
    <w:rsid w:val="00404510"/>
    <w:rsid w:val="0042331A"/>
    <w:rsid w:val="004322B9"/>
    <w:rsid w:val="00447E78"/>
    <w:rsid w:val="00451D0D"/>
    <w:rsid w:val="00455622"/>
    <w:rsid w:val="004672D7"/>
    <w:rsid w:val="00487B48"/>
    <w:rsid w:val="004A3E70"/>
    <w:rsid w:val="004B0F7D"/>
    <w:rsid w:val="004B3D09"/>
    <w:rsid w:val="004D19FA"/>
    <w:rsid w:val="004D4576"/>
    <w:rsid w:val="004E565D"/>
    <w:rsid w:val="004F60DB"/>
    <w:rsid w:val="004F7E30"/>
    <w:rsid w:val="00500699"/>
    <w:rsid w:val="00521262"/>
    <w:rsid w:val="00534E7C"/>
    <w:rsid w:val="0054588E"/>
    <w:rsid w:val="00562D3E"/>
    <w:rsid w:val="00571319"/>
    <w:rsid w:val="00582786"/>
    <w:rsid w:val="00586A1B"/>
    <w:rsid w:val="00596472"/>
    <w:rsid w:val="005B3FDA"/>
    <w:rsid w:val="005C590A"/>
    <w:rsid w:val="005D2CE9"/>
    <w:rsid w:val="005D5781"/>
    <w:rsid w:val="005E496F"/>
    <w:rsid w:val="005E5062"/>
    <w:rsid w:val="0060563F"/>
    <w:rsid w:val="00607AD7"/>
    <w:rsid w:val="00620AF7"/>
    <w:rsid w:val="00626610"/>
    <w:rsid w:val="0063219C"/>
    <w:rsid w:val="0065684A"/>
    <w:rsid w:val="00693A5B"/>
    <w:rsid w:val="006A0D57"/>
    <w:rsid w:val="006A6166"/>
    <w:rsid w:val="006B6B63"/>
    <w:rsid w:val="006C20E2"/>
    <w:rsid w:val="006C534A"/>
    <w:rsid w:val="007045C0"/>
    <w:rsid w:val="007069E4"/>
    <w:rsid w:val="007129BD"/>
    <w:rsid w:val="00734EE6"/>
    <w:rsid w:val="007352AB"/>
    <w:rsid w:val="007626F9"/>
    <w:rsid w:val="00775E96"/>
    <w:rsid w:val="00786B04"/>
    <w:rsid w:val="007903D1"/>
    <w:rsid w:val="007A7AFC"/>
    <w:rsid w:val="007B15C9"/>
    <w:rsid w:val="007C0490"/>
    <w:rsid w:val="007C11DC"/>
    <w:rsid w:val="007C18F7"/>
    <w:rsid w:val="007C2C99"/>
    <w:rsid w:val="007D0210"/>
    <w:rsid w:val="007E574C"/>
    <w:rsid w:val="007E61C7"/>
    <w:rsid w:val="00800036"/>
    <w:rsid w:val="0081100F"/>
    <w:rsid w:val="00817671"/>
    <w:rsid w:val="00834A84"/>
    <w:rsid w:val="00845A02"/>
    <w:rsid w:val="0086352D"/>
    <w:rsid w:val="00871579"/>
    <w:rsid w:val="00876E11"/>
    <w:rsid w:val="0089105D"/>
    <w:rsid w:val="0089742A"/>
    <w:rsid w:val="008B0A4B"/>
    <w:rsid w:val="008C03DD"/>
    <w:rsid w:val="008C1B94"/>
    <w:rsid w:val="008D5C11"/>
    <w:rsid w:val="008D6DCC"/>
    <w:rsid w:val="008E4DFB"/>
    <w:rsid w:val="008E6C91"/>
    <w:rsid w:val="008E7AB5"/>
    <w:rsid w:val="00917EDC"/>
    <w:rsid w:val="00922A2D"/>
    <w:rsid w:val="00937BA7"/>
    <w:rsid w:val="009454C6"/>
    <w:rsid w:val="00945AB6"/>
    <w:rsid w:val="00981031"/>
    <w:rsid w:val="00987863"/>
    <w:rsid w:val="009E433B"/>
    <w:rsid w:val="009F1B67"/>
    <w:rsid w:val="009F522A"/>
    <w:rsid w:val="009F791B"/>
    <w:rsid w:val="00A013EA"/>
    <w:rsid w:val="00A32BA5"/>
    <w:rsid w:val="00A376D1"/>
    <w:rsid w:val="00A5485E"/>
    <w:rsid w:val="00A76CFD"/>
    <w:rsid w:val="00A86E56"/>
    <w:rsid w:val="00A95A8D"/>
    <w:rsid w:val="00AB221F"/>
    <w:rsid w:val="00AC7F54"/>
    <w:rsid w:val="00AD337B"/>
    <w:rsid w:val="00B1664F"/>
    <w:rsid w:val="00B26CBB"/>
    <w:rsid w:val="00B300FD"/>
    <w:rsid w:val="00B34BE4"/>
    <w:rsid w:val="00B36008"/>
    <w:rsid w:val="00B37CA6"/>
    <w:rsid w:val="00B505CF"/>
    <w:rsid w:val="00B520AA"/>
    <w:rsid w:val="00B62394"/>
    <w:rsid w:val="00B6296C"/>
    <w:rsid w:val="00B7039C"/>
    <w:rsid w:val="00B73019"/>
    <w:rsid w:val="00B74870"/>
    <w:rsid w:val="00B77587"/>
    <w:rsid w:val="00B879D8"/>
    <w:rsid w:val="00B94A68"/>
    <w:rsid w:val="00BB33FE"/>
    <w:rsid w:val="00BB39E3"/>
    <w:rsid w:val="00BB779A"/>
    <w:rsid w:val="00BC7856"/>
    <w:rsid w:val="00BE4B92"/>
    <w:rsid w:val="00BF593C"/>
    <w:rsid w:val="00C00E2C"/>
    <w:rsid w:val="00C160A6"/>
    <w:rsid w:val="00C314A6"/>
    <w:rsid w:val="00C43387"/>
    <w:rsid w:val="00C510E0"/>
    <w:rsid w:val="00C84004"/>
    <w:rsid w:val="00C9253B"/>
    <w:rsid w:val="00C93F22"/>
    <w:rsid w:val="00CB1615"/>
    <w:rsid w:val="00CB396C"/>
    <w:rsid w:val="00CB57AF"/>
    <w:rsid w:val="00CB7955"/>
    <w:rsid w:val="00CD20C3"/>
    <w:rsid w:val="00CD6CDE"/>
    <w:rsid w:val="00CE0C46"/>
    <w:rsid w:val="00CE16DD"/>
    <w:rsid w:val="00CE5979"/>
    <w:rsid w:val="00CF0A60"/>
    <w:rsid w:val="00CF4B39"/>
    <w:rsid w:val="00D03366"/>
    <w:rsid w:val="00D45004"/>
    <w:rsid w:val="00D5060F"/>
    <w:rsid w:val="00D515D7"/>
    <w:rsid w:val="00D77FF8"/>
    <w:rsid w:val="00D829C4"/>
    <w:rsid w:val="00D8313B"/>
    <w:rsid w:val="00D83194"/>
    <w:rsid w:val="00D9414E"/>
    <w:rsid w:val="00DB2BF8"/>
    <w:rsid w:val="00DB39FC"/>
    <w:rsid w:val="00DD5E80"/>
    <w:rsid w:val="00DF19EB"/>
    <w:rsid w:val="00E01CA0"/>
    <w:rsid w:val="00E148AF"/>
    <w:rsid w:val="00E21214"/>
    <w:rsid w:val="00E30DE6"/>
    <w:rsid w:val="00E3224F"/>
    <w:rsid w:val="00E76832"/>
    <w:rsid w:val="00E90078"/>
    <w:rsid w:val="00EA1CF8"/>
    <w:rsid w:val="00EB6649"/>
    <w:rsid w:val="00EC1734"/>
    <w:rsid w:val="00EC5A03"/>
    <w:rsid w:val="00EE7C8D"/>
    <w:rsid w:val="00F109D4"/>
    <w:rsid w:val="00F20D50"/>
    <w:rsid w:val="00F37B24"/>
    <w:rsid w:val="00F50279"/>
    <w:rsid w:val="00F60C9F"/>
    <w:rsid w:val="00F75512"/>
    <w:rsid w:val="00F84ED3"/>
    <w:rsid w:val="00F92E97"/>
    <w:rsid w:val="00F9435D"/>
    <w:rsid w:val="00FD65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DF16"/>
  <w15:chartTrackingRefBased/>
  <w15:docId w15:val="{B57AC072-9071-49AC-8AA9-4F38FF4C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62D3E"/>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qFormat/>
    <w:rsid w:val="004B0F7D"/>
    <w:rPr>
      <w:b/>
      <w:sz w:val="32"/>
    </w:r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CD6CDE"/>
    <w:pPr>
      <w:numPr>
        <w:numId w:val="17"/>
      </w:numPr>
      <w:spacing w:after="120"/>
      <w:contextualSpacing/>
    </w:pPr>
  </w:style>
  <w:style w:type="paragraph" w:styleId="ListNumber2">
    <w:name w:val="List Number 2"/>
    <w:basedOn w:val="Normal"/>
    <w:uiPriority w:val="29"/>
    <w:qFormat/>
    <w:rsid w:val="00CD6CDE"/>
    <w:pPr>
      <w:numPr>
        <w:ilvl w:val="1"/>
        <w:numId w:val="17"/>
      </w:numPr>
      <w:spacing w:after="120"/>
      <w:contextualSpacing/>
    </w:pPr>
  </w:style>
  <w:style w:type="paragraph" w:styleId="ListNumber3">
    <w:name w:val="List Number 3"/>
    <w:basedOn w:val="Normal"/>
    <w:uiPriority w:val="29"/>
    <w:qFormat/>
    <w:rsid w:val="00CD6CDE"/>
    <w:pPr>
      <w:numPr>
        <w:ilvl w:val="2"/>
        <w:numId w:val="17"/>
      </w:numPr>
      <w:spacing w:after="80" w:line="220" w:lineRule="atLeast"/>
      <w:ind w:left="1020" w:hanging="340"/>
      <w:contextualSpacing/>
    </w:pPr>
    <w:rPr>
      <w:sz w:val="16"/>
    </w:rPr>
  </w:style>
  <w:style w:type="character" w:customStyle="1" w:styleId="Heading3Char">
    <w:name w:val="Heading 3 Char"/>
    <w:basedOn w:val="DefaultParagraphFont"/>
    <w:link w:val="Heading3"/>
    <w:uiPriority w:val="9"/>
    <w:rsid w:val="000933E7"/>
    <w:rPr>
      <w:rFonts w:eastAsiaTheme="majorEastAsia" w:cstheme="majorBidi"/>
      <w:b/>
      <w:szCs w:val="24"/>
    </w:rPr>
  </w:style>
  <w:style w:type="numbering" w:customStyle="1" w:styleId="HeadingNumList">
    <w:name w:val="HeadingNumList"/>
    <w:uiPriority w:val="99"/>
    <w:rsid w:val="00F92E97"/>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rsid w:val="00FD65F2"/>
    <w:pPr>
      <w:spacing w:after="100"/>
      <w:ind w:left="220"/>
    </w:pPr>
  </w:style>
  <w:style w:type="paragraph" w:styleId="TOC3">
    <w:name w:val="toc 3"/>
    <w:basedOn w:val="Normal"/>
    <w:next w:val="Normal"/>
    <w:uiPriority w:val="39"/>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9"/>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customStyle="1" w:styleId="CommentTextChar">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0933E7"/>
    <w:pPr>
      <w:spacing w:line="220" w:lineRule="atLeast"/>
    </w:pPr>
    <w:rPr>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Heading2numbered">
    <w:name w:val="Heading 2 numbered"/>
    <w:next w:val="Bodytextnumbered"/>
    <w:uiPriority w:val="34"/>
    <w:qFormat/>
    <w:rsid w:val="00F92E97"/>
    <w:pPr>
      <w:numPr>
        <w:numId w:val="27"/>
      </w:numPr>
      <w:spacing w:after="240"/>
    </w:pPr>
    <w:rPr>
      <w:b/>
      <w:color w:val="0B463D" w:themeColor="text2"/>
      <w:sz w:val="24"/>
    </w:rPr>
  </w:style>
  <w:style w:type="paragraph" w:customStyle="1" w:styleId="Bodytextnumbered">
    <w:name w:val="Body text numbered"/>
    <w:basedOn w:val="BodyText"/>
    <w:next w:val="Bodytextnumberedindented"/>
    <w:uiPriority w:val="34"/>
    <w:qFormat/>
    <w:rsid w:val="00F92E97"/>
    <w:pPr>
      <w:numPr>
        <w:ilvl w:val="1"/>
        <w:numId w:val="27"/>
      </w:numPr>
      <w:spacing w:after="240"/>
    </w:pPr>
  </w:style>
  <w:style w:type="paragraph" w:customStyle="1" w:styleId="Bodytextnumberedindented">
    <w:name w:val="Body text numbered indented"/>
    <w:basedOn w:val="BodyText"/>
    <w:uiPriority w:val="34"/>
    <w:qFormat/>
    <w:rsid w:val="00F92E97"/>
    <w:pPr>
      <w:numPr>
        <w:ilvl w:val="2"/>
        <w:numId w:val="27"/>
      </w:numPr>
      <w:spacing w:after="240"/>
    </w:pPr>
  </w:style>
  <w:style w:type="character" w:styleId="Hyperlink">
    <w:name w:val="Hyperlink"/>
    <w:basedOn w:val="DefaultParagraphFont"/>
    <w:uiPriority w:val="99"/>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customStyle="1" w:styleId="Tabletext">
    <w:name w:val="Table text"/>
    <w:basedOn w:val="BodyText"/>
    <w:uiPriority w:val="34"/>
    <w:qFormat/>
    <w:rsid w:val="00B36008"/>
    <w:pPr>
      <w:spacing w:after="120"/>
    </w:pPr>
    <w:rPr>
      <w:bCs/>
      <w:szCs w:val="14"/>
    </w:rPr>
  </w:style>
  <w:style w:type="paragraph" w:customStyle="1" w:styleId="Tablesubheadings">
    <w:name w:val="Table subheadings"/>
    <w:basedOn w:val="BodyText"/>
    <w:uiPriority w:val="34"/>
    <w:qFormat/>
    <w:rsid w:val="00B36008"/>
    <w:pPr>
      <w:spacing w:after="120"/>
    </w:pPr>
    <w:rPr>
      <w:b/>
      <w:szCs w:val="14"/>
    </w:rPr>
  </w:style>
  <w:style w:type="paragraph" w:styleId="NormalWeb">
    <w:name w:val="Normal (Web)"/>
    <w:basedOn w:val="Normal"/>
    <w:uiPriority w:val="99"/>
    <w:unhideWhenUsed/>
    <w:rsid w:val="00BB779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ba3ee0-44fa-42fc-ae83-040ed206d56a">
      <Terms xmlns="http://schemas.microsoft.com/office/infopath/2007/PartnerControls"/>
    </lcf76f155ced4ddcb4097134ff3c332f>
    <TaxCatchAll xmlns="ce6416d9-56de-4610-9c96-28514f73cca0" xsi:nil="true"/>
    <SharedWithUsers xmlns="ce6416d9-56de-4610-9c96-28514f73cca0">
      <UserInfo>
        <DisplayName>Lily Owens-Crossman</DisplayName>
        <AccountId>23</AccountId>
        <AccountType/>
      </UserInfo>
      <UserInfo>
        <DisplayName>Steyn Crous</DisplayName>
        <AccountId>20</AccountId>
        <AccountType/>
      </UserInfo>
      <UserInfo>
        <DisplayName>Jonah Hebron</DisplayName>
        <AccountId>16</AccountId>
        <AccountType/>
      </UserInfo>
      <UserInfo>
        <DisplayName>Jane Oyston</DisplayName>
        <AccountId>884</AccountId>
        <AccountType/>
      </UserInfo>
      <UserInfo>
        <DisplayName>Laura Parkes</DisplayName>
        <AccountId>18</AccountId>
        <AccountType/>
      </UserInfo>
      <UserInfo>
        <DisplayName>Tim Neill</DisplayName>
        <AccountId>49</AccountId>
        <AccountType/>
      </UserInfo>
      <UserInfo>
        <DisplayName>Sohila Sawhney</DisplayName>
        <AccountId>289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F2397981A8749B643250D1DAA669A" ma:contentTypeVersion="17" ma:contentTypeDescription="Create a new document." ma:contentTypeScope="" ma:versionID="ebf82ba2eca62a22b10a40a784399d35">
  <xsd:schema xmlns:xsd="http://www.w3.org/2001/XMLSchema" xmlns:xs="http://www.w3.org/2001/XMLSchema" xmlns:p="http://schemas.microsoft.com/office/2006/metadata/properties" xmlns:ns2="ce6416d9-56de-4610-9c96-28514f73cca0" xmlns:ns3="a1ba3ee0-44fa-42fc-ae83-040ed206d56a" targetNamespace="http://schemas.microsoft.com/office/2006/metadata/properties" ma:root="true" ma:fieldsID="d8bc02c2784b6bba18a066330636e2cd" ns2:_="" ns3:_="">
    <xsd:import namespace="ce6416d9-56de-4610-9c96-28514f73cca0"/>
    <xsd:import namespace="a1ba3ee0-44fa-42fc-ae83-040ed206d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16d9-56de-4610-9c96-28514f73cc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0beadd3-732a-4211-8e1d-6df8c1a9a2cb}" ma:internalName="TaxCatchAll" ma:showField="CatchAllData" ma:web="ce6416d9-56de-4610-9c96-28514f73cc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ba3ee0-44fa-42fc-ae83-040ed206d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E96A-4A16-4B37-9FBF-A7B9F464AE8A}">
  <ds:schemaRefs>
    <ds:schemaRef ds:uri="http://schemas.microsoft.com/office/2006/metadata/properties"/>
    <ds:schemaRef ds:uri="http://schemas.microsoft.com/office/infopath/2007/PartnerControls"/>
    <ds:schemaRef ds:uri="a1ba3ee0-44fa-42fc-ae83-040ed206d56a"/>
    <ds:schemaRef ds:uri="ce6416d9-56de-4610-9c96-28514f73cca0"/>
  </ds:schemaRefs>
</ds:datastoreItem>
</file>

<file path=customXml/itemProps2.xml><?xml version="1.0" encoding="utf-8"?>
<ds:datastoreItem xmlns:ds="http://schemas.openxmlformats.org/officeDocument/2006/customXml" ds:itemID="{25B780CF-5CD4-403C-8130-FA1523622DA8}">
  <ds:schemaRefs>
    <ds:schemaRef ds:uri="http://schemas.microsoft.com/sharepoint/v3/contenttype/forms"/>
  </ds:schemaRefs>
</ds:datastoreItem>
</file>

<file path=customXml/itemProps3.xml><?xml version="1.0" encoding="utf-8"?>
<ds:datastoreItem xmlns:ds="http://schemas.openxmlformats.org/officeDocument/2006/customXml" ds:itemID="{B1CC75CD-BF1D-4C5D-8E7A-8CB540A2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416d9-56de-4610-9c96-28514f73cca0"/>
    <ds:schemaRef ds:uri="a1ba3ee0-44fa-42fc-ae83-040ed206d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Hebron</dc:creator>
  <cp:keywords/>
  <dc:description/>
  <cp:lastModifiedBy>Steyn Crous</cp:lastModifiedBy>
  <cp:revision>109</cp:revision>
  <cp:lastPrinted>2024-02-27T16:43:00Z</cp:lastPrinted>
  <dcterms:created xsi:type="dcterms:W3CDTF">2024-03-05T16:29:00Z</dcterms:created>
  <dcterms:modified xsi:type="dcterms:W3CDTF">2024-03-27T10:43:00Z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0x010100C2AF2397981A8749B643250D1DAA669A</vt:lpwstr>
  </property>
</Properties>
</file>