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A1" w:rsidRPr="00D048A1" w:rsidRDefault="00134831" w:rsidP="00D048A1">
      <w:pPr>
        <w:jc w:val="center"/>
        <w:rPr>
          <w:b/>
        </w:rPr>
      </w:pPr>
      <w:bookmarkStart w:id="0" w:name="_GoBack"/>
      <w:bookmarkEnd w:id="0"/>
      <w:r>
        <w:rPr>
          <w:b/>
        </w:rPr>
        <w:t xml:space="preserve">Children’s Services and Business Lines </w:t>
      </w:r>
      <w:r w:rsidR="00D048A1" w:rsidRPr="00D048A1">
        <w:rPr>
          <w:b/>
        </w:rPr>
        <w:t>Notifiable Events Map</w:t>
      </w:r>
    </w:p>
    <w:p w:rsidR="00015CBF" w:rsidRDefault="00015CBF" w:rsidP="00D048A1"/>
    <w:p w:rsidR="00D048A1" w:rsidRDefault="00D048A1" w:rsidP="00D048A1">
      <w:r>
        <w:t>The purpose of this map is to identify the incidents and occurrences that must be reported outside the line management chain of service through to Director or Head of Service or Head of Operations. It includes who should be notified, the process for doing this and any other requirements.</w:t>
      </w:r>
    </w:p>
    <w:p w:rsidR="00D048A1" w:rsidRDefault="00D048A1" w:rsidP="00D048A1"/>
    <w:p w:rsidR="00D048A1" w:rsidRDefault="00D048A1" w:rsidP="00D048A1">
      <w:r>
        <w:t>Please note that this does not include reporting of incidents to regulatory bodies or commissioners, funders or other parties identified in contractual requirements. There is a section at the end of the map that services should complete where these requirements exist.</w:t>
      </w:r>
    </w:p>
    <w:p w:rsidR="00D048A1" w:rsidRDefault="00D048A1" w:rsidP="00D048A1"/>
    <w:tbl>
      <w:tblPr>
        <w:tblStyle w:val="TableGrid"/>
        <w:tblW w:w="0" w:type="auto"/>
        <w:tblLayout w:type="fixed"/>
        <w:tblLook w:val="04A0" w:firstRow="1" w:lastRow="0" w:firstColumn="1" w:lastColumn="0" w:noHBand="0" w:noVBand="1"/>
      </w:tblPr>
      <w:tblGrid>
        <w:gridCol w:w="3085"/>
        <w:gridCol w:w="3686"/>
        <w:gridCol w:w="2114"/>
        <w:gridCol w:w="2074"/>
        <w:gridCol w:w="2217"/>
      </w:tblGrid>
      <w:tr w:rsidR="00134831" w:rsidTr="00322979">
        <w:tc>
          <w:tcPr>
            <w:tcW w:w="3085" w:type="dxa"/>
            <w:shd w:val="clear" w:color="auto" w:fill="C2D69B" w:themeFill="accent3" w:themeFillTint="99"/>
          </w:tcPr>
          <w:p w:rsidR="00D048A1" w:rsidRPr="00D048A1" w:rsidRDefault="00D048A1" w:rsidP="00D048A1">
            <w:pPr>
              <w:rPr>
                <w:b/>
              </w:rPr>
            </w:pPr>
            <w:r w:rsidRPr="00D048A1">
              <w:rPr>
                <w:b/>
              </w:rPr>
              <w:t>Notifiable Event</w:t>
            </w:r>
          </w:p>
        </w:tc>
        <w:tc>
          <w:tcPr>
            <w:tcW w:w="3686" w:type="dxa"/>
            <w:shd w:val="clear" w:color="auto" w:fill="C2D69B" w:themeFill="accent3" w:themeFillTint="99"/>
          </w:tcPr>
          <w:p w:rsidR="00D048A1" w:rsidRPr="00D048A1" w:rsidRDefault="00D048A1" w:rsidP="00D048A1">
            <w:pPr>
              <w:rPr>
                <w:b/>
              </w:rPr>
            </w:pPr>
            <w:r w:rsidRPr="00D048A1">
              <w:rPr>
                <w:b/>
              </w:rPr>
              <w:t>Who should be informed</w:t>
            </w:r>
          </w:p>
        </w:tc>
        <w:tc>
          <w:tcPr>
            <w:tcW w:w="2114" w:type="dxa"/>
            <w:shd w:val="clear" w:color="auto" w:fill="C2D69B" w:themeFill="accent3" w:themeFillTint="99"/>
          </w:tcPr>
          <w:p w:rsidR="00D048A1" w:rsidRPr="00D048A1" w:rsidRDefault="00D048A1" w:rsidP="00D048A1">
            <w:pPr>
              <w:rPr>
                <w:b/>
              </w:rPr>
            </w:pPr>
            <w:r w:rsidRPr="00D048A1">
              <w:rPr>
                <w:b/>
              </w:rPr>
              <w:t>Form</w:t>
            </w:r>
            <w:r>
              <w:rPr>
                <w:b/>
              </w:rPr>
              <w:t>/s</w:t>
            </w:r>
            <w:r w:rsidRPr="00D048A1">
              <w:rPr>
                <w:b/>
              </w:rPr>
              <w:t xml:space="preserve"> to be completed</w:t>
            </w:r>
          </w:p>
        </w:tc>
        <w:tc>
          <w:tcPr>
            <w:tcW w:w="2074" w:type="dxa"/>
            <w:shd w:val="clear" w:color="auto" w:fill="C2D69B" w:themeFill="accent3" w:themeFillTint="99"/>
          </w:tcPr>
          <w:p w:rsidR="00D048A1" w:rsidRPr="00D048A1" w:rsidRDefault="00D048A1" w:rsidP="00D048A1">
            <w:pPr>
              <w:rPr>
                <w:b/>
              </w:rPr>
            </w:pPr>
            <w:r w:rsidRPr="00D048A1">
              <w:rPr>
                <w:b/>
              </w:rPr>
              <w:t>Policy or Guidance</w:t>
            </w:r>
          </w:p>
        </w:tc>
        <w:tc>
          <w:tcPr>
            <w:tcW w:w="2217" w:type="dxa"/>
            <w:shd w:val="clear" w:color="auto" w:fill="C2D69B" w:themeFill="accent3" w:themeFillTint="99"/>
          </w:tcPr>
          <w:p w:rsidR="00D048A1" w:rsidRPr="00D048A1" w:rsidRDefault="00D048A1" w:rsidP="00D048A1">
            <w:pPr>
              <w:rPr>
                <w:b/>
              </w:rPr>
            </w:pPr>
            <w:r w:rsidRPr="00D048A1">
              <w:rPr>
                <w:b/>
              </w:rPr>
              <w:t>Additional Notes</w:t>
            </w:r>
          </w:p>
        </w:tc>
      </w:tr>
      <w:tr w:rsidR="00134831" w:rsidRPr="00134831" w:rsidTr="00322979">
        <w:tc>
          <w:tcPr>
            <w:tcW w:w="3085" w:type="dxa"/>
          </w:tcPr>
          <w:p w:rsidR="00D048A1" w:rsidRPr="00134831" w:rsidRDefault="00D048A1" w:rsidP="0015719D">
            <w:pPr>
              <w:rPr>
                <w:sz w:val="22"/>
                <w:szCs w:val="22"/>
              </w:rPr>
            </w:pPr>
            <w:r w:rsidRPr="0015719D">
              <w:rPr>
                <w:b/>
                <w:sz w:val="22"/>
                <w:szCs w:val="22"/>
              </w:rPr>
              <w:t>1</w:t>
            </w:r>
            <w:r w:rsidR="00134831" w:rsidRPr="0015719D">
              <w:rPr>
                <w:b/>
                <w:sz w:val="22"/>
                <w:szCs w:val="22"/>
              </w:rPr>
              <w:t>.</w:t>
            </w:r>
            <w:r w:rsidR="00134831" w:rsidRPr="00134831">
              <w:rPr>
                <w:b/>
                <w:sz w:val="22"/>
                <w:szCs w:val="22"/>
              </w:rPr>
              <w:t xml:space="preserve"> Serious safeguarding incident</w:t>
            </w:r>
            <w:r w:rsidR="00134831" w:rsidRPr="00134831">
              <w:rPr>
                <w:sz w:val="22"/>
                <w:szCs w:val="22"/>
              </w:rPr>
              <w:t xml:space="preserve">, see </w:t>
            </w:r>
            <w:r w:rsidR="0015719D">
              <w:rPr>
                <w:sz w:val="22"/>
                <w:szCs w:val="22"/>
              </w:rPr>
              <w:t xml:space="preserve">below </w:t>
            </w:r>
            <w:r w:rsidR="00134831" w:rsidRPr="00134831">
              <w:rPr>
                <w:sz w:val="22"/>
                <w:szCs w:val="22"/>
              </w:rPr>
              <w:t>for list of events that could constitute a serious safeguarding incident.</w:t>
            </w:r>
          </w:p>
        </w:tc>
        <w:tc>
          <w:tcPr>
            <w:tcW w:w="3686" w:type="dxa"/>
          </w:tcPr>
          <w:p w:rsidR="00E312A5" w:rsidRPr="00E312A5" w:rsidRDefault="00640855" w:rsidP="00E312A5">
            <w:pPr>
              <w:rPr>
                <w:sz w:val="20"/>
                <w:szCs w:val="20"/>
              </w:rPr>
            </w:pPr>
            <w:hyperlink r:id="rId9" w:history="1">
              <w:r w:rsidR="00E312A5" w:rsidRPr="00E312A5">
                <w:rPr>
                  <w:rStyle w:val="Hyperlink"/>
                  <w:sz w:val="20"/>
                  <w:szCs w:val="20"/>
                </w:rPr>
                <w:t>Safeguarding@barnardos.org.uk</w:t>
              </w:r>
            </w:hyperlink>
          </w:p>
          <w:p w:rsidR="00E312A5" w:rsidRPr="00E312A5" w:rsidRDefault="00E312A5" w:rsidP="00E312A5">
            <w:pPr>
              <w:rPr>
                <w:sz w:val="22"/>
                <w:szCs w:val="22"/>
              </w:rPr>
            </w:pPr>
            <w:r w:rsidRPr="00E312A5">
              <w:rPr>
                <w:sz w:val="22"/>
                <w:szCs w:val="22"/>
              </w:rPr>
              <w:t xml:space="preserve">Head of Corporate Safeguarding </w:t>
            </w:r>
          </w:p>
          <w:p w:rsidR="00E312A5" w:rsidRPr="00E312A5" w:rsidRDefault="00E312A5" w:rsidP="00E312A5">
            <w:pPr>
              <w:rPr>
                <w:sz w:val="22"/>
                <w:szCs w:val="22"/>
              </w:rPr>
            </w:pPr>
            <w:r w:rsidRPr="00E312A5">
              <w:rPr>
                <w:sz w:val="22"/>
                <w:szCs w:val="22"/>
              </w:rPr>
              <w:t>Corporate Director Children’s Services (England) (Safeguarding Director)</w:t>
            </w:r>
          </w:p>
          <w:p w:rsidR="00E312A5" w:rsidRPr="00E312A5" w:rsidRDefault="00E312A5" w:rsidP="00E312A5">
            <w:pPr>
              <w:rPr>
                <w:sz w:val="22"/>
                <w:szCs w:val="22"/>
              </w:rPr>
            </w:pPr>
            <w:r w:rsidRPr="00E312A5">
              <w:rPr>
                <w:sz w:val="22"/>
                <w:szCs w:val="22"/>
              </w:rPr>
              <w:t>Region/Nation/Commercial Director, Head of Business (Business Lines or relevant Corporate Director)</w:t>
            </w:r>
          </w:p>
          <w:p w:rsidR="00E312A5" w:rsidRPr="00E312A5" w:rsidRDefault="00E312A5" w:rsidP="00E312A5">
            <w:pPr>
              <w:rPr>
                <w:sz w:val="22"/>
                <w:szCs w:val="22"/>
              </w:rPr>
            </w:pPr>
            <w:r w:rsidRPr="00E312A5">
              <w:rPr>
                <w:sz w:val="22"/>
                <w:szCs w:val="22"/>
              </w:rPr>
              <w:t>Head of Volunteering (where appropriate)</w:t>
            </w:r>
          </w:p>
          <w:p w:rsidR="00E312A5" w:rsidRPr="00E312A5" w:rsidRDefault="00E312A5" w:rsidP="00E312A5">
            <w:pPr>
              <w:rPr>
                <w:sz w:val="22"/>
                <w:szCs w:val="22"/>
              </w:rPr>
            </w:pPr>
            <w:r w:rsidRPr="00E312A5">
              <w:rPr>
                <w:sz w:val="22"/>
                <w:szCs w:val="22"/>
              </w:rPr>
              <w:t xml:space="preserve">cc:  Chief Executive  </w:t>
            </w:r>
          </w:p>
          <w:p w:rsidR="00134831" w:rsidRPr="00134831" w:rsidRDefault="00134831" w:rsidP="00D048A1">
            <w:pPr>
              <w:rPr>
                <w:sz w:val="22"/>
                <w:szCs w:val="22"/>
              </w:rPr>
            </w:pPr>
          </w:p>
        </w:tc>
        <w:tc>
          <w:tcPr>
            <w:tcW w:w="2114" w:type="dxa"/>
          </w:tcPr>
          <w:p w:rsidR="00134831" w:rsidRPr="00134831" w:rsidRDefault="00640855" w:rsidP="00D048A1">
            <w:pPr>
              <w:rPr>
                <w:sz w:val="22"/>
                <w:szCs w:val="22"/>
              </w:rPr>
            </w:pPr>
            <w:hyperlink r:id="rId10" w:history="1">
              <w:r w:rsidR="00134831" w:rsidRPr="00F71002">
                <w:rPr>
                  <w:rStyle w:val="Hyperlink"/>
                  <w:sz w:val="22"/>
                  <w:szCs w:val="22"/>
                </w:rPr>
                <w:t>Serious Safeguarding Incident Form</w:t>
              </w:r>
            </w:hyperlink>
          </w:p>
        </w:tc>
        <w:tc>
          <w:tcPr>
            <w:tcW w:w="2074" w:type="dxa"/>
          </w:tcPr>
          <w:p w:rsidR="00D048A1" w:rsidRDefault="00134831" w:rsidP="00D048A1">
            <w:pPr>
              <w:rPr>
                <w:sz w:val="22"/>
                <w:szCs w:val="22"/>
              </w:rPr>
            </w:pPr>
            <w:r w:rsidRPr="00134831">
              <w:rPr>
                <w:sz w:val="22"/>
                <w:szCs w:val="22"/>
              </w:rPr>
              <w:t>Safeguarding Policy</w:t>
            </w:r>
          </w:p>
          <w:p w:rsidR="00134831" w:rsidRDefault="00134831" w:rsidP="00D048A1">
            <w:pPr>
              <w:rPr>
                <w:sz w:val="22"/>
                <w:szCs w:val="22"/>
              </w:rPr>
            </w:pPr>
          </w:p>
          <w:p w:rsidR="00134831" w:rsidRPr="00134831" w:rsidRDefault="00134831" w:rsidP="00591293">
            <w:pPr>
              <w:rPr>
                <w:sz w:val="22"/>
                <w:szCs w:val="22"/>
              </w:rPr>
            </w:pPr>
            <w:r w:rsidRPr="00134831">
              <w:rPr>
                <w:sz w:val="22"/>
                <w:szCs w:val="22"/>
              </w:rPr>
              <w:t>Guidelines for Managers issued in August 2016 (</w:t>
            </w:r>
            <w:hyperlink r:id="rId11" w:history="1">
              <w:r w:rsidRPr="00F71002">
                <w:rPr>
                  <w:rStyle w:val="Hyperlink"/>
                  <w:sz w:val="22"/>
                  <w:szCs w:val="22"/>
                </w:rPr>
                <w:t>link</w:t>
              </w:r>
            </w:hyperlink>
            <w:r w:rsidRPr="00134831">
              <w:rPr>
                <w:sz w:val="22"/>
                <w:szCs w:val="22"/>
              </w:rPr>
              <w:t>)</w:t>
            </w:r>
          </w:p>
        </w:tc>
        <w:tc>
          <w:tcPr>
            <w:tcW w:w="2217" w:type="dxa"/>
          </w:tcPr>
          <w:p w:rsidR="00D048A1" w:rsidRPr="00134831" w:rsidRDefault="00D048A1" w:rsidP="00D048A1">
            <w:pPr>
              <w:rPr>
                <w:sz w:val="22"/>
                <w:szCs w:val="22"/>
              </w:rPr>
            </w:pPr>
          </w:p>
        </w:tc>
      </w:tr>
      <w:tr w:rsidR="00134831" w:rsidRPr="00134831" w:rsidTr="00322979">
        <w:tc>
          <w:tcPr>
            <w:tcW w:w="3085" w:type="dxa"/>
          </w:tcPr>
          <w:p w:rsidR="00D048A1" w:rsidRPr="00134831" w:rsidRDefault="00D048A1" w:rsidP="00D048A1">
            <w:pPr>
              <w:rPr>
                <w:sz w:val="22"/>
                <w:szCs w:val="22"/>
              </w:rPr>
            </w:pPr>
            <w:r w:rsidRPr="00134831">
              <w:rPr>
                <w:b/>
                <w:sz w:val="22"/>
                <w:szCs w:val="22"/>
              </w:rPr>
              <w:t>2. Safeguarding allegations against adults who work for or on behalf of Barnardo’s.</w:t>
            </w:r>
          </w:p>
        </w:tc>
        <w:tc>
          <w:tcPr>
            <w:tcW w:w="3686" w:type="dxa"/>
          </w:tcPr>
          <w:p w:rsidR="00D048A1" w:rsidRPr="00134831" w:rsidRDefault="00D048A1" w:rsidP="00D048A1">
            <w:pPr>
              <w:rPr>
                <w:rFonts w:eastAsia="MS ??" w:cs="Arial"/>
                <w:sz w:val="22"/>
                <w:szCs w:val="22"/>
                <w:lang w:val="en-US" w:eastAsia="en-US"/>
              </w:rPr>
            </w:pPr>
            <w:r w:rsidRPr="00134831">
              <w:rPr>
                <w:rFonts w:eastAsia="MS ??" w:cs="Arial"/>
                <w:sz w:val="22"/>
                <w:szCs w:val="22"/>
                <w:lang w:val="en-US" w:eastAsia="en-US"/>
              </w:rPr>
              <w:t>Head of Safeguarding and/or Director of Children’s Services</w:t>
            </w:r>
          </w:p>
          <w:p w:rsidR="00134831" w:rsidRPr="00134831" w:rsidRDefault="00134831" w:rsidP="00D048A1">
            <w:pPr>
              <w:rPr>
                <w:rFonts w:eastAsia="MS ??" w:cs="Arial"/>
                <w:sz w:val="22"/>
                <w:szCs w:val="22"/>
                <w:lang w:val="en-US" w:eastAsia="en-US"/>
              </w:rPr>
            </w:pPr>
          </w:p>
          <w:p w:rsidR="00D048A1" w:rsidRPr="00134831" w:rsidRDefault="00D048A1" w:rsidP="00D048A1">
            <w:pPr>
              <w:rPr>
                <w:sz w:val="22"/>
                <w:szCs w:val="22"/>
              </w:rPr>
            </w:pPr>
            <w:r w:rsidRPr="00134831">
              <w:rPr>
                <w:rFonts w:eastAsia="MS ??" w:cs="Arial"/>
                <w:sz w:val="22"/>
                <w:szCs w:val="22"/>
                <w:lang w:val="en-US" w:eastAsia="en-US"/>
              </w:rPr>
              <w:t>Local Authority Child Protection Officers/L</w:t>
            </w:r>
            <w:r w:rsidRPr="00134831">
              <w:rPr>
                <w:rFonts w:eastAsia="MS ??" w:cs="Arial"/>
                <w:sz w:val="22"/>
                <w:szCs w:val="22"/>
              </w:rPr>
              <w:t>ADOs</w:t>
            </w:r>
          </w:p>
        </w:tc>
        <w:tc>
          <w:tcPr>
            <w:tcW w:w="2114" w:type="dxa"/>
          </w:tcPr>
          <w:p w:rsidR="00D048A1" w:rsidRPr="00134831" w:rsidRDefault="00640855" w:rsidP="00F71002">
            <w:pPr>
              <w:rPr>
                <w:sz w:val="22"/>
                <w:szCs w:val="22"/>
              </w:rPr>
            </w:pPr>
            <w:hyperlink r:id="rId12" w:history="1">
              <w:r w:rsidR="00D048A1" w:rsidRPr="00F71002">
                <w:rPr>
                  <w:rStyle w:val="Hyperlink"/>
                  <w:sz w:val="22"/>
                  <w:szCs w:val="22"/>
                </w:rPr>
                <w:t>Allegations Against Adults Reporting Form</w:t>
              </w:r>
            </w:hyperlink>
          </w:p>
        </w:tc>
        <w:tc>
          <w:tcPr>
            <w:tcW w:w="2074" w:type="dxa"/>
          </w:tcPr>
          <w:p w:rsidR="00D048A1" w:rsidRPr="00134831" w:rsidRDefault="00D048A1" w:rsidP="00D048A1">
            <w:pPr>
              <w:rPr>
                <w:sz w:val="22"/>
                <w:szCs w:val="22"/>
              </w:rPr>
            </w:pPr>
            <w:r w:rsidRPr="00134831">
              <w:rPr>
                <w:rFonts w:eastAsia="MS ??" w:cs="Arial"/>
                <w:color w:val="333333"/>
                <w:sz w:val="22"/>
                <w:szCs w:val="22"/>
              </w:rPr>
              <w:t xml:space="preserve">Guidelines for Managers issued in August 2016 </w:t>
            </w:r>
            <w:r w:rsidR="00F71002" w:rsidRPr="00134831">
              <w:rPr>
                <w:sz w:val="22"/>
                <w:szCs w:val="22"/>
              </w:rPr>
              <w:t>(</w:t>
            </w:r>
            <w:hyperlink r:id="rId13" w:history="1">
              <w:r w:rsidR="00F71002" w:rsidRPr="00F71002">
                <w:rPr>
                  <w:rStyle w:val="Hyperlink"/>
                  <w:sz w:val="22"/>
                  <w:szCs w:val="22"/>
                </w:rPr>
                <w:t>link</w:t>
              </w:r>
            </w:hyperlink>
            <w:r w:rsidR="00F71002" w:rsidRPr="00134831">
              <w:rPr>
                <w:sz w:val="22"/>
                <w:szCs w:val="22"/>
              </w:rPr>
              <w:t>)</w:t>
            </w:r>
          </w:p>
        </w:tc>
        <w:tc>
          <w:tcPr>
            <w:tcW w:w="2217" w:type="dxa"/>
          </w:tcPr>
          <w:p w:rsidR="00D048A1" w:rsidRPr="00134831" w:rsidRDefault="00D048A1" w:rsidP="00322979">
            <w:pPr>
              <w:rPr>
                <w:sz w:val="22"/>
                <w:szCs w:val="22"/>
              </w:rPr>
            </w:pPr>
            <w:r w:rsidRPr="00134831">
              <w:rPr>
                <w:sz w:val="22"/>
                <w:szCs w:val="22"/>
              </w:rPr>
              <w:t xml:space="preserve">It may be appropriate to use the </w:t>
            </w:r>
            <w:hyperlink r:id="rId14" w:history="1">
              <w:r w:rsidR="00322979" w:rsidRPr="00322979">
                <w:rPr>
                  <w:rStyle w:val="Hyperlink"/>
                  <w:sz w:val="22"/>
                  <w:szCs w:val="22"/>
                </w:rPr>
                <w:t>b-hive - Whistleblowing policy</w:t>
              </w:r>
            </w:hyperlink>
            <w:r w:rsidRPr="00134831">
              <w:rPr>
                <w:sz w:val="22"/>
                <w:szCs w:val="22"/>
              </w:rPr>
              <w:t xml:space="preserve"> when such </w:t>
            </w:r>
            <w:r w:rsidRPr="00134831">
              <w:rPr>
                <w:sz w:val="22"/>
                <w:szCs w:val="22"/>
              </w:rPr>
              <w:lastRenderedPageBreak/>
              <w:t>allegations are being made.</w:t>
            </w:r>
          </w:p>
        </w:tc>
      </w:tr>
      <w:tr w:rsidR="00134831" w:rsidRPr="00134831" w:rsidTr="00322979">
        <w:tc>
          <w:tcPr>
            <w:tcW w:w="3085" w:type="dxa"/>
          </w:tcPr>
          <w:p w:rsidR="00D048A1" w:rsidRPr="00134831" w:rsidRDefault="00D048A1" w:rsidP="00D048A1">
            <w:pPr>
              <w:rPr>
                <w:b/>
                <w:sz w:val="22"/>
                <w:szCs w:val="22"/>
              </w:rPr>
            </w:pPr>
            <w:r w:rsidRPr="00134831">
              <w:rPr>
                <w:b/>
                <w:sz w:val="22"/>
                <w:szCs w:val="22"/>
              </w:rPr>
              <w:lastRenderedPageBreak/>
              <w:t>3. Death of a child</w:t>
            </w:r>
            <w:r w:rsidRPr="00134831">
              <w:rPr>
                <w:sz w:val="22"/>
                <w:szCs w:val="22"/>
              </w:rPr>
              <w:t xml:space="preserve"> If the death is not suspicious and not occurring whilst Barnardo’s has responsibility for the child or young person</w:t>
            </w:r>
          </w:p>
        </w:tc>
        <w:tc>
          <w:tcPr>
            <w:tcW w:w="3686" w:type="dxa"/>
          </w:tcPr>
          <w:p w:rsidR="0015719D" w:rsidRDefault="00640855" w:rsidP="00E312A5">
            <w:pPr>
              <w:rPr>
                <w:bCs/>
                <w:sz w:val="22"/>
                <w:szCs w:val="22"/>
              </w:rPr>
            </w:pPr>
            <w:hyperlink r:id="rId15" w:history="1">
              <w:r w:rsidR="0015719D" w:rsidRPr="00E312A5">
                <w:rPr>
                  <w:rStyle w:val="Hyperlink"/>
                  <w:sz w:val="20"/>
                  <w:szCs w:val="20"/>
                </w:rPr>
                <w:t>Safeguarding@barnardos.org.uk</w:t>
              </w:r>
            </w:hyperlink>
          </w:p>
          <w:p w:rsidR="00E312A5" w:rsidRPr="00E312A5" w:rsidRDefault="00E312A5" w:rsidP="00E312A5">
            <w:pPr>
              <w:rPr>
                <w:sz w:val="22"/>
                <w:szCs w:val="22"/>
              </w:rPr>
            </w:pPr>
            <w:r w:rsidRPr="00E312A5">
              <w:rPr>
                <w:bCs/>
                <w:sz w:val="22"/>
                <w:szCs w:val="22"/>
              </w:rPr>
              <w:t>Chief Executive</w:t>
            </w:r>
          </w:p>
          <w:p w:rsidR="00E312A5" w:rsidRPr="00E312A5" w:rsidRDefault="00E312A5" w:rsidP="00E312A5">
            <w:pPr>
              <w:rPr>
                <w:sz w:val="22"/>
                <w:szCs w:val="22"/>
              </w:rPr>
            </w:pPr>
            <w:r w:rsidRPr="00E312A5">
              <w:rPr>
                <w:bCs/>
                <w:sz w:val="22"/>
                <w:szCs w:val="22"/>
              </w:rPr>
              <w:t>Corporate Director Children’s Services (England)</w:t>
            </w:r>
            <w:r>
              <w:rPr>
                <w:bCs/>
                <w:sz w:val="22"/>
                <w:szCs w:val="22"/>
              </w:rPr>
              <w:t xml:space="preserve"> or (Celtic Nations)</w:t>
            </w:r>
          </w:p>
          <w:p w:rsidR="00E312A5" w:rsidRPr="00E312A5" w:rsidRDefault="00E312A5" w:rsidP="00E312A5">
            <w:pPr>
              <w:rPr>
                <w:sz w:val="22"/>
                <w:szCs w:val="22"/>
              </w:rPr>
            </w:pPr>
            <w:r w:rsidRPr="00E312A5">
              <w:rPr>
                <w:bCs/>
                <w:sz w:val="22"/>
                <w:szCs w:val="22"/>
              </w:rPr>
              <w:t>Region/Nation Director</w:t>
            </w:r>
          </w:p>
          <w:p w:rsidR="00D048A1" w:rsidRPr="00134831" w:rsidRDefault="00E312A5" w:rsidP="00322979">
            <w:pPr>
              <w:rPr>
                <w:sz w:val="22"/>
                <w:szCs w:val="22"/>
              </w:rPr>
            </w:pPr>
            <w:r w:rsidRPr="00E312A5">
              <w:rPr>
                <w:bCs/>
                <w:sz w:val="22"/>
                <w:szCs w:val="22"/>
              </w:rPr>
              <w:t>Region/Nation Safeguarding Lead</w:t>
            </w:r>
          </w:p>
        </w:tc>
        <w:tc>
          <w:tcPr>
            <w:tcW w:w="2114" w:type="dxa"/>
          </w:tcPr>
          <w:p w:rsidR="00D048A1" w:rsidRPr="00E312A5" w:rsidRDefault="00640855" w:rsidP="00D048A1">
            <w:pPr>
              <w:rPr>
                <w:sz w:val="22"/>
                <w:szCs w:val="22"/>
              </w:rPr>
            </w:pPr>
            <w:hyperlink r:id="rId16" w:history="1">
              <w:r w:rsidR="00134831" w:rsidRPr="00E312A5">
                <w:rPr>
                  <w:rStyle w:val="Hyperlink"/>
                  <w:sz w:val="22"/>
                  <w:szCs w:val="22"/>
                </w:rPr>
                <w:t>Death of Service User Form</w:t>
              </w:r>
            </w:hyperlink>
          </w:p>
        </w:tc>
        <w:tc>
          <w:tcPr>
            <w:tcW w:w="2074" w:type="dxa"/>
          </w:tcPr>
          <w:p w:rsidR="00134831" w:rsidRDefault="00134831" w:rsidP="00D048A1">
            <w:pPr>
              <w:rPr>
                <w:sz w:val="22"/>
                <w:szCs w:val="22"/>
              </w:rPr>
            </w:pPr>
            <w:r>
              <w:rPr>
                <w:sz w:val="22"/>
                <w:szCs w:val="22"/>
              </w:rPr>
              <w:t>Safeguarding Policy</w:t>
            </w:r>
          </w:p>
          <w:p w:rsidR="00D048A1" w:rsidRPr="00134831" w:rsidRDefault="00134831" w:rsidP="00D048A1">
            <w:pPr>
              <w:rPr>
                <w:sz w:val="22"/>
                <w:szCs w:val="22"/>
              </w:rPr>
            </w:pPr>
            <w:r w:rsidRPr="00134831">
              <w:rPr>
                <w:sz w:val="22"/>
                <w:szCs w:val="22"/>
              </w:rPr>
              <w:t xml:space="preserve">Guidelines for Managers issued in August 2016 </w:t>
            </w:r>
            <w:r w:rsidR="00F71002" w:rsidRPr="00134831">
              <w:rPr>
                <w:sz w:val="22"/>
                <w:szCs w:val="22"/>
              </w:rPr>
              <w:t>(</w:t>
            </w:r>
            <w:hyperlink r:id="rId17" w:history="1">
              <w:r w:rsidR="00F71002" w:rsidRPr="00F71002">
                <w:rPr>
                  <w:rStyle w:val="Hyperlink"/>
                  <w:sz w:val="22"/>
                  <w:szCs w:val="22"/>
                </w:rPr>
                <w:t>link</w:t>
              </w:r>
            </w:hyperlink>
            <w:r w:rsidR="00F71002" w:rsidRPr="00134831">
              <w:rPr>
                <w:sz w:val="22"/>
                <w:szCs w:val="22"/>
              </w:rPr>
              <w:t>)</w:t>
            </w:r>
          </w:p>
        </w:tc>
        <w:tc>
          <w:tcPr>
            <w:tcW w:w="2217" w:type="dxa"/>
          </w:tcPr>
          <w:p w:rsidR="00D048A1" w:rsidRPr="00134831" w:rsidRDefault="00D048A1" w:rsidP="00D048A1">
            <w:pPr>
              <w:rPr>
                <w:sz w:val="22"/>
                <w:szCs w:val="22"/>
              </w:rPr>
            </w:pPr>
          </w:p>
        </w:tc>
      </w:tr>
      <w:tr w:rsidR="00134831" w:rsidRPr="00134831" w:rsidTr="00322979">
        <w:tc>
          <w:tcPr>
            <w:tcW w:w="3085" w:type="dxa"/>
          </w:tcPr>
          <w:p w:rsidR="00D048A1" w:rsidRPr="00134831" w:rsidRDefault="00D048A1" w:rsidP="00134831">
            <w:pPr>
              <w:rPr>
                <w:sz w:val="22"/>
                <w:szCs w:val="22"/>
              </w:rPr>
            </w:pPr>
            <w:r w:rsidRPr="00134831">
              <w:rPr>
                <w:b/>
                <w:sz w:val="22"/>
                <w:szCs w:val="22"/>
              </w:rPr>
              <w:t xml:space="preserve">4. Death of a child </w:t>
            </w:r>
            <w:r w:rsidR="00134831" w:rsidRPr="00134831">
              <w:rPr>
                <w:sz w:val="22"/>
                <w:szCs w:val="22"/>
                <w:lang w:val="en-US"/>
              </w:rPr>
              <w:t>where the death was unexpected/potentially avoidable and the child/adult was in receipt of services from Barnardo’s</w:t>
            </w:r>
            <w:r w:rsidRPr="00134831">
              <w:rPr>
                <w:sz w:val="22"/>
                <w:szCs w:val="22"/>
              </w:rPr>
              <w:t>.</w:t>
            </w:r>
          </w:p>
        </w:tc>
        <w:tc>
          <w:tcPr>
            <w:tcW w:w="3686" w:type="dxa"/>
          </w:tcPr>
          <w:p w:rsidR="00E312A5" w:rsidRPr="00E312A5" w:rsidRDefault="00640855" w:rsidP="00E312A5">
            <w:pPr>
              <w:rPr>
                <w:sz w:val="20"/>
                <w:szCs w:val="20"/>
              </w:rPr>
            </w:pPr>
            <w:hyperlink r:id="rId18" w:history="1">
              <w:r w:rsidR="00E312A5" w:rsidRPr="00E312A5">
                <w:rPr>
                  <w:rStyle w:val="Hyperlink"/>
                  <w:sz w:val="20"/>
                  <w:szCs w:val="20"/>
                </w:rPr>
                <w:t>Safeguarding@barnardos.org.uk</w:t>
              </w:r>
            </w:hyperlink>
          </w:p>
          <w:p w:rsidR="00E312A5" w:rsidRPr="00E312A5" w:rsidRDefault="00E312A5" w:rsidP="00E312A5">
            <w:pPr>
              <w:rPr>
                <w:sz w:val="22"/>
                <w:szCs w:val="22"/>
              </w:rPr>
            </w:pPr>
            <w:r w:rsidRPr="00E312A5">
              <w:rPr>
                <w:sz w:val="22"/>
                <w:szCs w:val="22"/>
              </w:rPr>
              <w:t xml:space="preserve">Head of Corporate Safeguarding </w:t>
            </w:r>
          </w:p>
          <w:p w:rsidR="00E312A5" w:rsidRPr="00E312A5" w:rsidRDefault="00E312A5" w:rsidP="00E312A5">
            <w:pPr>
              <w:rPr>
                <w:sz w:val="22"/>
                <w:szCs w:val="22"/>
              </w:rPr>
            </w:pPr>
            <w:r w:rsidRPr="00E312A5">
              <w:rPr>
                <w:sz w:val="22"/>
                <w:szCs w:val="22"/>
              </w:rPr>
              <w:t>Corporate Director Children’s Services (England) Region/Nation/Commercial Director, Head of Business (Business Lines or relevant Corporate Director)</w:t>
            </w:r>
          </w:p>
          <w:p w:rsidR="00E312A5" w:rsidRPr="00E312A5" w:rsidRDefault="00E312A5" w:rsidP="00D048A1">
            <w:pPr>
              <w:rPr>
                <w:sz w:val="22"/>
                <w:szCs w:val="22"/>
              </w:rPr>
            </w:pPr>
            <w:r w:rsidRPr="00E312A5">
              <w:rPr>
                <w:sz w:val="22"/>
                <w:szCs w:val="22"/>
              </w:rPr>
              <w:t xml:space="preserve">cc:  Chief Executive </w:t>
            </w:r>
          </w:p>
          <w:p w:rsidR="00E312A5" w:rsidRDefault="00E312A5" w:rsidP="00D048A1"/>
          <w:p w:rsidR="00134831" w:rsidRDefault="00640855" w:rsidP="00D048A1">
            <w:pPr>
              <w:rPr>
                <w:sz w:val="20"/>
                <w:szCs w:val="20"/>
              </w:rPr>
            </w:pPr>
            <w:hyperlink r:id="rId19" w:history="1">
              <w:r w:rsidR="00134831" w:rsidRPr="00134831">
                <w:rPr>
                  <w:rStyle w:val="Hyperlink"/>
                  <w:sz w:val="20"/>
                  <w:szCs w:val="20"/>
                </w:rPr>
                <w:t>Safeguarding@barnardos.org.uk</w:t>
              </w:r>
            </w:hyperlink>
          </w:p>
          <w:p w:rsidR="0015719D" w:rsidRPr="0015719D" w:rsidRDefault="0015719D" w:rsidP="0015719D">
            <w:pPr>
              <w:rPr>
                <w:sz w:val="22"/>
                <w:szCs w:val="22"/>
              </w:rPr>
            </w:pPr>
            <w:r w:rsidRPr="0015719D">
              <w:rPr>
                <w:bCs/>
                <w:sz w:val="22"/>
                <w:szCs w:val="22"/>
              </w:rPr>
              <w:t>Chief Executive</w:t>
            </w:r>
          </w:p>
          <w:p w:rsidR="0015719D" w:rsidRPr="0015719D" w:rsidRDefault="0015719D" w:rsidP="0015719D">
            <w:pPr>
              <w:rPr>
                <w:sz w:val="22"/>
                <w:szCs w:val="22"/>
              </w:rPr>
            </w:pPr>
            <w:r w:rsidRPr="0015719D">
              <w:rPr>
                <w:bCs/>
                <w:sz w:val="22"/>
                <w:szCs w:val="22"/>
              </w:rPr>
              <w:t>Corporate Director Children’s Services (England) or (Celtic Nations)</w:t>
            </w:r>
          </w:p>
          <w:p w:rsidR="0015719D" w:rsidRPr="0015719D" w:rsidRDefault="0015719D" w:rsidP="0015719D">
            <w:pPr>
              <w:rPr>
                <w:sz w:val="22"/>
                <w:szCs w:val="22"/>
              </w:rPr>
            </w:pPr>
            <w:r w:rsidRPr="0015719D">
              <w:rPr>
                <w:bCs/>
                <w:sz w:val="22"/>
                <w:szCs w:val="22"/>
              </w:rPr>
              <w:t>Region/Nation Director</w:t>
            </w:r>
          </w:p>
          <w:p w:rsidR="00E312A5" w:rsidRDefault="0015719D" w:rsidP="00134831">
            <w:pPr>
              <w:rPr>
                <w:sz w:val="22"/>
                <w:szCs w:val="22"/>
              </w:rPr>
            </w:pPr>
            <w:r w:rsidRPr="0015719D">
              <w:rPr>
                <w:bCs/>
                <w:sz w:val="22"/>
                <w:szCs w:val="22"/>
              </w:rPr>
              <w:t>Region/Nation Safeguarding Lead</w:t>
            </w:r>
          </w:p>
          <w:p w:rsidR="00E312A5" w:rsidRDefault="00E312A5" w:rsidP="00134831">
            <w:pPr>
              <w:rPr>
                <w:sz w:val="22"/>
                <w:szCs w:val="22"/>
              </w:rPr>
            </w:pPr>
          </w:p>
          <w:p w:rsidR="008F7D6E" w:rsidRDefault="00640855" w:rsidP="00134831">
            <w:pPr>
              <w:rPr>
                <w:sz w:val="22"/>
                <w:szCs w:val="22"/>
              </w:rPr>
            </w:pPr>
            <w:hyperlink r:id="rId20" w:history="1">
              <w:r w:rsidR="00E312A5" w:rsidRPr="00F23AFF">
                <w:rPr>
                  <w:rStyle w:val="Hyperlink"/>
                  <w:sz w:val="22"/>
                  <w:szCs w:val="22"/>
                </w:rPr>
                <w:t>safetyteam@barnardos.org.uk</w:t>
              </w:r>
            </w:hyperlink>
          </w:p>
          <w:p w:rsidR="00E312A5" w:rsidRPr="00134831" w:rsidRDefault="00E312A5" w:rsidP="00134831">
            <w:pPr>
              <w:rPr>
                <w:sz w:val="22"/>
                <w:szCs w:val="22"/>
              </w:rPr>
            </w:pPr>
          </w:p>
        </w:tc>
        <w:tc>
          <w:tcPr>
            <w:tcW w:w="2114" w:type="dxa"/>
          </w:tcPr>
          <w:p w:rsidR="00E312A5" w:rsidRDefault="00640855" w:rsidP="00134831">
            <w:pPr>
              <w:rPr>
                <w:sz w:val="22"/>
                <w:szCs w:val="22"/>
              </w:rPr>
            </w:pPr>
            <w:hyperlink r:id="rId21" w:history="1">
              <w:r w:rsidR="00134831" w:rsidRPr="00F71002">
                <w:rPr>
                  <w:rStyle w:val="Hyperlink"/>
                  <w:sz w:val="22"/>
                  <w:szCs w:val="22"/>
                </w:rPr>
                <w:t>Serious Safeguarding Incident Form</w:t>
              </w:r>
            </w:hyperlink>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E312A5" w:rsidRDefault="00E312A5" w:rsidP="00134831">
            <w:pPr>
              <w:rPr>
                <w:sz w:val="22"/>
                <w:szCs w:val="22"/>
              </w:rPr>
            </w:pPr>
          </w:p>
          <w:p w:rsidR="00134831" w:rsidRDefault="00640855" w:rsidP="00134831">
            <w:pPr>
              <w:rPr>
                <w:sz w:val="22"/>
                <w:szCs w:val="22"/>
              </w:rPr>
            </w:pPr>
            <w:hyperlink r:id="rId22" w:history="1">
              <w:r w:rsidR="00E312A5" w:rsidRPr="00E312A5">
                <w:rPr>
                  <w:rStyle w:val="Hyperlink"/>
                  <w:sz w:val="22"/>
                  <w:szCs w:val="22"/>
                </w:rPr>
                <w:t>Death of Service User Form</w:t>
              </w:r>
            </w:hyperlink>
          </w:p>
          <w:p w:rsidR="00134831" w:rsidRDefault="00134831" w:rsidP="00134831">
            <w:pPr>
              <w:rPr>
                <w:sz w:val="22"/>
                <w:szCs w:val="22"/>
              </w:rPr>
            </w:pPr>
          </w:p>
          <w:p w:rsidR="0015719D" w:rsidRDefault="0015719D" w:rsidP="00134831">
            <w:pPr>
              <w:rPr>
                <w:sz w:val="22"/>
                <w:szCs w:val="22"/>
              </w:rPr>
            </w:pPr>
          </w:p>
          <w:p w:rsidR="0015719D" w:rsidRDefault="0015719D" w:rsidP="00134831">
            <w:pPr>
              <w:rPr>
                <w:sz w:val="22"/>
                <w:szCs w:val="22"/>
              </w:rPr>
            </w:pPr>
          </w:p>
          <w:p w:rsidR="00134831" w:rsidRPr="00134831" w:rsidRDefault="00134831" w:rsidP="00134831">
            <w:pPr>
              <w:rPr>
                <w:sz w:val="22"/>
                <w:szCs w:val="22"/>
              </w:rPr>
            </w:pPr>
            <w:r w:rsidRPr="00134831">
              <w:rPr>
                <w:sz w:val="22"/>
                <w:szCs w:val="22"/>
              </w:rPr>
              <w:t>Barnardo’s Incident reporting Form</w:t>
            </w:r>
          </w:p>
          <w:p w:rsidR="00134831" w:rsidRPr="00134831" w:rsidRDefault="00640855" w:rsidP="00134831">
            <w:pPr>
              <w:rPr>
                <w:sz w:val="22"/>
                <w:szCs w:val="22"/>
              </w:rPr>
            </w:pPr>
            <w:hyperlink r:id="rId23" w:history="1">
              <w:r w:rsidR="00134831" w:rsidRPr="00134831">
                <w:rPr>
                  <w:rStyle w:val="Hyperlink"/>
                  <w:b/>
                  <w:sz w:val="22"/>
                  <w:szCs w:val="22"/>
                </w:rPr>
                <w:t>(BIRF)</w:t>
              </w:r>
            </w:hyperlink>
          </w:p>
        </w:tc>
        <w:tc>
          <w:tcPr>
            <w:tcW w:w="2074" w:type="dxa"/>
          </w:tcPr>
          <w:p w:rsidR="00134831" w:rsidRDefault="00134831" w:rsidP="00D048A1">
            <w:pPr>
              <w:rPr>
                <w:sz w:val="22"/>
                <w:szCs w:val="22"/>
              </w:rPr>
            </w:pPr>
            <w:r>
              <w:rPr>
                <w:sz w:val="22"/>
                <w:szCs w:val="22"/>
              </w:rPr>
              <w:t>Safeguarding Policy</w:t>
            </w:r>
          </w:p>
          <w:p w:rsidR="00134831" w:rsidRDefault="00134831" w:rsidP="00D048A1">
            <w:pPr>
              <w:rPr>
                <w:sz w:val="22"/>
                <w:szCs w:val="22"/>
              </w:rPr>
            </w:pPr>
          </w:p>
          <w:p w:rsidR="00D048A1" w:rsidRPr="00134831" w:rsidRDefault="00134831" w:rsidP="00D048A1">
            <w:pPr>
              <w:rPr>
                <w:sz w:val="22"/>
                <w:szCs w:val="22"/>
              </w:rPr>
            </w:pPr>
            <w:r w:rsidRPr="00134831">
              <w:rPr>
                <w:sz w:val="22"/>
                <w:szCs w:val="22"/>
              </w:rPr>
              <w:t xml:space="preserve">Guidelines for Managers issued in August 2016 </w:t>
            </w:r>
            <w:r w:rsidR="00F71002" w:rsidRPr="00134831">
              <w:rPr>
                <w:sz w:val="22"/>
                <w:szCs w:val="22"/>
              </w:rPr>
              <w:t>(</w:t>
            </w:r>
            <w:hyperlink r:id="rId24" w:history="1">
              <w:r w:rsidR="00F71002" w:rsidRPr="00F71002">
                <w:rPr>
                  <w:rStyle w:val="Hyperlink"/>
                  <w:sz w:val="22"/>
                  <w:szCs w:val="22"/>
                </w:rPr>
                <w:t>link</w:t>
              </w:r>
            </w:hyperlink>
            <w:r w:rsidR="00F71002" w:rsidRPr="00134831">
              <w:rPr>
                <w:sz w:val="22"/>
                <w:szCs w:val="22"/>
              </w:rPr>
              <w:t>)</w:t>
            </w:r>
          </w:p>
        </w:tc>
        <w:tc>
          <w:tcPr>
            <w:tcW w:w="2217" w:type="dxa"/>
          </w:tcPr>
          <w:p w:rsidR="00D048A1" w:rsidRPr="00134831" w:rsidRDefault="00D048A1" w:rsidP="00D048A1">
            <w:pPr>
              <w:rPr>
                <w:sz w:val="22"/>
                <w:szCs w:val="22"/>
              </w:rPr>
            </w:pPr>
          </w:p>
        </w:tc>
      </w:tr>
      <w:tr w:rsidR="00134831" w:rsidRPr="00134831" w:rsidTr="00322979">
        <w:tc>
          <w:tcPr>
            <w:tcW w:w="3085" w:type="dxa"/>
          </w:tcPr>
          <w:p w:rsidR="00134831" w:rsidRPr="00134831" w:rsidRDefault="00D048A1" w:rsidP="00134831">
            <w:pPr>
              <w:rPr>
                <w:b/>
                <w:sz w:val="22"/>
                <w:szCs w:val="22"/>
              </w:rPr>
            </w:pPr>
            <w:r w:rsidRPr="00134831">
              <w:rPr>
                <w:sz w:val="22"/>
                <w:szCs w:val="22"/>
              </w:rPr>
              <w:lastRenderedPageBreak/>
              <w:t>5.</w:t>
            </w:r>
            <w:r w:rsidR="00134831" w:rsidRPr="00134831">
              <w:rPr>
                <w:rFonts w:eastAsia="MS ??" w:cs="Calibri"/>
                <w:b/>
                <w:sz w:val="22"/>
                <w:szCs w:val="22"/>
              </w:rPr>
              <w:t xml:space="preserve"> </w:t>
            </w:r>
            <w:r w:rsidR="00134831" w:rsidRPr="00134831">
              <w:rPr>
                <w:b/>
                <w:sz w:val="22"/>
                <w:szCs w:val="22"/>
              </w:rPr>
              <w:t xml:space="preserve">Serious Incident </w:t>
            </w:r>
          </w:p>
          <w:p w:rsidR="00134831" w:rsidRPr="00134831" w:rsidRDefault="00134831" w:rsidP="00134831">
            <w:pPr>
              <w:tabs>
                <w:tab w:val="num" w:pos="283"/>
              </w:tabs>
              <w:rPr>
                <w:sz w:val="22"/>
                <w:szCs w:val="22"/>
              </w:rPr>
            </w:pPr>
            <w:r w:rsidRPr="00134831">
              <w:rPr>
                <w:sz w:val="22"/>
                <w:szCs w:val="22"/>
                <w:lang w:val="en-US"/>
              </w:rPr>
              <w:t>Injury or accident, precautionary visit to hospital, incident involving vehicle on Barnardo’s premises, near miss of</w:t>
            </w:r>
            <w:r w:rsidRPr="00134831">
              <w:rPr>
                <w:i/>
                <w:iCs/>
                <w:sz w:val="22"/>
                <w:szCs w:val="22"/>
                <w:lang w:val="en-US"/>
              </w:rPr>
              <w:t xml:space="preserve"> serious accident/</w:t>
            </w:r>
            <w:r w:rsidRPr="00134831">
              <w:rPr>
                <w:sz w:val="22"/>
                <w:szCs w:val="22"/>
                <w:lang w:val="en-US"/>
              </w:rPr>
              <w:t>Medication error or adverse drug reaction</w:t>
            </w:r>
          </w:p>
          <w:p w:rsidR="00D048A1" w:rsidRPr="00134831" w:rsidRDefault="00134831" w:rsidP="00134831">
            <w:pPr>
              <w:rPr>
                <w:b/>
                <w:sz w:val="22"/>
                <w:szCs w:val="22"/>
              </w:rPr>
            </w:pPr>
            <w:r w:rsidRPr="00134831">
              <w:rPr>
                <w:sz w:val="22"/>
                <w:szCs w:val="22"/>
                <w:lang w:val="en-US"/>
              </w:rPr>
              <w:t>Hazard with potential to harm</w:t>
            </w:r>
            <w:r w:rsidR="008F7D6E" w:rsidRPr="00134831">
              <w:rPr>
                <w:b/>
                <w:sz w:val="22"/>
                <w:szCs w:val="22"/>
              </w:rPr>
              <w:t>.</w:t>
            </w:r>
          </w:p>
        </w:tc>
        <w:tc>
          <w:tcPr>
            <w:tcW w:w="3686" w:type="dxa"/>
          </w:tcPr>
          <w:p w:rsidR="00134831" w:rsidRPr="00134831" w:rsidRDefault="00134831" w:rsidP="00134831">
            <w:pPr>
              <w:rPr>
                <w:sz w:val="22"/>
                <w:szCs w:val="22"/>
              </w:rPr>
            </w:pPr>
            <w:r w:rsidRPr="00134831">
              <w:rPr>
                <w:sz w:val="22"/>
                <w:szCs w:val="22"/>
              </w:rPr>
              <w:t>Safety Team</w:t>
            </w:r>
          </w:p>
          <w:p w:rsidR="00D048A1" w:rsidRPr="00134831" w:rsidRDefault="00134831" w:rsidP="00134831">
            <w:pPr>
              <w:rPr>
                <w:sz w:val="22"/>
                <w:szCs w:val="22"/>
              </w:rPr>
            </w:pPr>
            <w:r w:rsidRPr="00134831">
              <w:rPr>
                <w:i/>
                <w:sz w:val="22"/>
                <w:szCs w:val="22"/>
              </w:rPr>
              <w:t>who  will liaise with Corporate  Safeguarding Team if required</w:t>
            </w:r>
            <w:r w:rsidRPr="00134831">
              <w:rPr>
                <w:sz w:val="22"/>
                <w:szCs w:val="22"/>
              </w:rPr>
              <w:t xml:space="preserve"> </w:t>
            </w:r>
          </w:p>
          <w:p w:rsidR="008F7D6E" w:rsidRPr="00134831" w:rsidRDefault="008F7D6E" w:rsidP="00D048A1">
            <w:pPr>
              <w:rPr>
                <w:sz w:val="22"/>
                <w:szCs w:val="22"/>
              </w:rPr>
            </w:pPr>
          </w:p>
          <w:p w:rsidR="008F7D6E" w:rsidRPr="00134831" w:rsidRDefault="008F7D6E" w:rsidP="00D048A1">
            <w:pPr>
              <w:rPr>
                <w:sz w:val="22"/>
                <w:szCs w:val="22"/>
              </w:rPr>
            </w:pPr>
          </w:p>
          <w:p w:rsidR="008F7D6E" w:rsidRPr="00134831" w:rsidRDefault="008F7D6E" w:rsidP="00D048A1">
            <w:pPr>
              <w:rPr>
                <w:sz w:val="22"/>
                <w:szCs w:val="22"/>
              </w:rPr>
            </w:pPr>
          </w:p>
        </w:tc>
        <w:tc>
          <w:tcPr>
            <w:tcW w:w="2114" w:type="dxa"/>
          </w:tcPr>
          <w:p w:rsidR="00134831" w:rsidRPr="00134831" w:rsidRDefault="00134831" w:rsidP="00134831">
            <w:pPr>
              <w:rPr>
                <w:sz w:val="22"/>
                <w:szCs w:val="22"/>
              </w:rPr>
            </w:pPr>
            <w:r w:rsidRPr="00134831">
              <w:rPr>
                <w:sz w:val="22"/>
                <w:szCs w:val="22"/>
              </w:rPr>
              <w:t>Barnardo’s Incident reporting Form</w:t>
            </w:r>
          </w:p>
          <w:p w:rsidR="00D048A1" w:rsidRPr="00134831" w:rsidRDefault="00640855" w:rsidP="00134831">
            <w:pPr>
              <w:rPr>
                <w:sz w:val="22"/>
                <w:szCs w:val="22"/>
              </w:rPr>
            </w:pPr>
            <w:hyperlink r:id="rId25" w:history="1">
              <w:r w:rsidR="00134831" w:rsidRPr="00134831">
                <w:rPr>
                  <w:rStyle w:val="Hyperlink"/>
                  <w:b/>
                  <w:sz w:val="22"/>
                  <w:szCs w:val="22"/>
                </w:rPr>
                <w:t>(BIRF)</w:t>
              </w:r>
            </w:hyperlink>
          </w:p>
        </w:tc>
        <w:tc>
          <w:tcPr>
            <w:tcW w:w="2074" w:type="dxa"/>
          </w:tcPr>
          <w:p w:rsidR="00134831" w:rsidRPr="00134831" w:rsidRDefault="00134831" w:rsidP="00134831">
            <w:pPr>
              <w:rPr>
                <w:sz w:val="22"/>
                <w:szCs w:val="22"/>
              </w:rPr>
            </w:pPr>
            <w:r>
              <w:rPr>
                <w:sz w:val="22"/>
                <w:szCs w:val="22"/>
              </w:rPr>
              <w:t>Health and Safety policy</w:t>
            </w:r>
          </w:p>
        </w:tc>
        <w:tc>
          <w:tcPr>
            <w:tcW w:w="2217" w:type="dxa"/>
          </w:tcPr>
          <w:p w:rsidR="00134831" w:rsidRPr="00134831" w:rsidRDefault="00134831" w:rsidP="00134831">
            <w:pPr>
              <w:rPr>
                <w:sz w:val="22"/>
                <w:szCs w:val="22"/>
              </w:rPr>
            </w:pPr>
            <w:r w:rsidRPr="00134831">
              <w:rPr>
                <w:sz w:val="22"/>
                <w:szCs w:val="22"/>
              </w:rPr>
              <w:t>Safety Team</w:t>
            </w:r>
          </w:p>
          <w:p w:rsidR="00D048A1" w:rsidRPr="00134831" w:rsidRDefault="00134831" w:rsidP="00134831">
            <w:pPr>
              <w:rPr>
                <w:sz w:val="22"/>
                <w:szCs w:val="22"/>
              </w:rPr>
            </w:pPr>
            <w:r w:rsidRPr="00134831">
              <w:rPr>
                <w:i/>
                <w:sz w:val="22"/>
                <w:szCs w:val="22"/>
              </w:rPr>
              <w:t>who  will liaise with Corporate  Safeguarding Team if required</w:t>
            </w:r>
          </w:p>
        </w:tc>
      </w:tr>
      <w:tr w:rsidR="00134831" w:rsidRPr="00134831" w:rsidTr="00322979">
        <w:tc>
          <w:tcPr>
            <w:tcW w:w="3085" w:type="dxa"/>
          </w:tcPr>
          <w:p w:rsidR="00134831" w:rsidRPr="00134831" w:rsidRDefault="008F7D6E" w:rsidP="00134831">
            <w:pPr>
              <w:rPr>
                <w:sz w:val="22"/>
                <w:szCs w:val="22"/>
              </w:rPr>
            </w:pPr>
            <w:r w:rsidRPr="0015719D">
              <w:rPr>
                <w:b/>
                <w:sz w:val="22"/>
                <w:szCs w:val="22"/>
              </w:rPr>
              <w:t>6.</w:t>
            </w:r>
            <w:r w:rsidRPr="00134831">
              <w:rPr>
                <w:sz w:val="22"/>
                <w:szCs w:val="22"/>
              </w:rPr>
              <w:t xml:space="preserve"> </w:t>
            </w:r>
            <w:r w:rsidR="00134831" w:rsidRPr="0015719D">
              <w:rPr>
                <w:b/>
                <w:sz w:val="22"/>
                <w:szCs w:val="22"/>
                <w:lang w:val="en-US"/>
              </w:rPr>
              <w:t>RIDDOR</w:t>
            </w:r>
            <w:r w:rsidR="00134831" w:rsidRPr="0015719D">
              <w:rPr>
                <w:b/>
                <w:i/>
                <w:sz w:val="22"/>
                <w:szCs w:val="22"/>
                <w:vertAlign w:val="superscript"/>
                <w:lang w:val="en-US"/>
              </w:rPr>
              <w:footnoteReference w:id="1"/>
            </w:r>
            <w:r w:rsidR="00134831" w:rsidRPr="0015719D">
              <w:rPr>
                <w:b/>
                <w:sz w:val="22"/>
                <w:szCs w:val="22"/>
              </w:rPr>
              <w:t xml:space="preserve"> reportable incidents</w:t>
            </w:r>
          </w:p>
          <w:p w:rsidR="00134831" w:rsidRPr="00134831" w:rsidRDefault="00134831" w:rsidP="00134831">
            <w:pPr>
              <w:rPr>
                <w:sz w:val="22"/>
                <w:szCs w:val="22"/>
              </w:rPr>
            </w:pPr>
            <w:r w:rsidRPr="00134831">
              <w:rPr>
                <w:sz w:val="22"/>
                <w:szCs w:val="22"/>
              </w:rPr>
              <w:t>Deaths and injuries caused  by workplace</w:t>
            </w:r>
            <w:r w:rsidRPr="00134831">
              <w:rPr>
                <w:i/>
                <w:sz w:val="22"/>
                <w:szCs w:val="22"/>
                <w:vertAlign w:val="superscript"/>
              </w:rPr>
              <w:footnoteReference w:id="2"/>
            </w:r>
            <w:r w:rsidRPr="00134831">
              <w:rPr>
                <w:sz w:val="22"/>
                <w:szCs w:val="22"/>
              </w:rPr>
              <w:t xml:space="preserve"> accidents </w:t>
            </w:r>
          </w:p>
          <w:p w:rsidR="00134831" w:rsidRPr="00134831" w:rsidRDefault="00134831" w:rsidP="00134831">
            <w:pPr>
              <w:rPr>
                <w:sz w:val="22"/>
                <w:szCs w:val="22"/>
              </w:rPr>
            </w:pPr>
            <w:r w:rsidRPr="00134831">
              <w:rPr>
                <w:sz w:val="22"/>
                <w:szCs w:val="22"/>
              </w:rPr>
              <w:t>Occupational diseases</w:t>
            </w:r>
          </w:p>
          <w:p w:rsidR="00134831" w:rsidRPr="00134831" w:rsidRDefault="00134831" w:rsidP="00134831">
            <w:pPr>
              <w:rPr>
                <w:sz w:val="22"/>
                <w:szCs w:val="22"/>
              </w:rPr>
            </w:pPr>
            <w:r w:rsidRPr="00134831">
              <w:rPr>
                <w:sz w:val="22"/>
                <w:szCs w:val="22"/>
              </w:rPr>
              <w:t xml:space="preserve">Exposure to Carcinogens and biological  agents </w:t>
            </w:r>
          </w:p>
          <w:p w:rsidR="00134831" w:rsidRPr="00134831" w:rsidRDefault="00134831" w:rsidP="00134831">
            <w:pPr>
              <w:rPr>
                <w:sz w:val="22"/>
                <w:szCs w:val="22"/>
              </w:rPr>
            </w:pPr>
            <w:r w:rsidRPr="00134831">
              <w:rPr>
                <w:sz w:val="22"/>
                <w:szCs w:val="22"/>
              </w:rPr>
              <w:t>Specified injuries to staff/volunteers</w:t>
            </w:r>
          </w:p>
          <w:p w:rsidR="00134831" w:rsidRPr="00134831" w:rsidRDefault="00134831" w:rsidP="00134831">
            <w:pPr>
              <w:rPr>
                <w:sz w:val="22"/>
                <w:szCs w:val="22"/>
              </w:rPr>
            </w:pPr>
            <w:r w:rsidRPr="00134831">
              <w:rPr>
                <w:sz w:val="22"/>
                <w:szCs w:val="22"/>
              </w:rPr>
              <w:t xml:space="preserve">Dangerous industrial type occurrences </w:t>
            </w:r>
          </w:p>
          <w:p w:rsidR="0015719D" w:rsidRDefault="00134831" w:rsidP="00134831">
            <w:pPr>
              <w:rPr>
                <w:sz w:val="22"/>
                <w:szCs w:val="22"/>
              </w:rPr>
            </w:pPr>
            <w:r w:rsidRPr="00134831">
              <w:rPr>
                <w:sz w:val="22"/>
                <w:szCs w:val="22"/>
              </w:rPr>
              <w:t>Gas incidents</w:t>
            </w:r>
          </w:p>
          <w:p w:rsidR="00F47499" w:rsidRDefault="00F47499" w:rsidP="00134831">
            <w:pPr>
              <w:rPr>
                <w:sz w:val="22"/>
                <w:szCs w:val="22"/>
              </w:rPr>
            </w:pPr>
          </w:p>
          <w:p w:rsidR="00D048A1" w:rsidRPr="00134831" w:rsidRDefault="00134831" w:rsidP="00134831">
            <w:pPr>
              <w:rPr>
                <w:sz w:val="22"/>
                <w:szCs w:val="22"/>
              </w:rPr>
            </w:pPr>
            <w:r w:rsidRPr="00134831">
              <w:rPr>
                <w:sz w:val="22"/>
                <w:szCs w:val="22"/>
              </w:rPr>
              <w:t xml:space="preserve"> </w:t>
            </w:r>
          </w:p>
        </w:tc>
        <w:tc>
          <w:tcPr>
            <w:tcW w:w="3686" w:type="dxa"/>
          </w:tcPr>
          <w:p w:rsidR="00134831" w:rsidRPr="00134831" w:rsidRDefault="00134831" w:rsidP="00134831">
            <w:pPr>
              <w:rPr>
                <w:sz w:val="22"/>
                <w:szCs w:val="22"/>
              </w:rPr>
            </w:pPr>
            <w:r w:rsidRPr="00134831">
              <w:rPr>
                <w:sz w:val="22"/>
                <w:szCs w:val="22"/>
              </w:rPr>
              <w:t>Health and Safety Team</w:t>
            </w:r>
          </w:p>
          <w:p w:rsidR="00D048A1" w:rsidRPr="00134831" w:rsidRDefault="00134831" w:rsidP="00134831">
            <w:pPr>
              <w:rPr>
                <w:i/>
                <w:sz w:val="22"/>
                <w:szCs w:val="22"/>
              </w:rPr>
            </w:pPr>
            <w:r w:rsidRPr="00134831">
              <w:rPr>
                <w:i/>
                <w:sz w:val="22"/>
                <w:szCs w:val="22"/>
              </w:rPr>
              <w:t>who  will liaise with Corporate  Safeguarding Team if required</w:t>
            </w:r>
          </w:p>
          <w:p w:rsidR="00134831" w:rsidRPr="00134831" w:rsidRDefault="00134831" w:rsidP="00134831">
            <w:pPr>
              <w:rPr>
                <w:sz w:val="22"/>
                <w:szCs w:val="22"/>
              </w:rPr>
            </w:pPr>
            <w:r w:rsidRPr="00134831">
              <w:rPr>
                <w:sz w:val="22"/>
                <w:szCs w:val="22"/>
              </w:rPr>
              <w:t>Health and Safety Executive</w:t>
            </w:r>
          </w:p>
        </w:tc>
        <w:tc>
          <w:tcPr>
            <w:tcW w:w="2114" w:type="dxa"/>
          </w:tcPr>
          <w:p w:rsidR="00134831" w:rsidRPr="00134831" w:rsidRDefault="00134831" w:rsidP="00134831">
            <w:pPr>
              <w:rPr>
                <w:sz w:val="22"/>
                <w:szCs w:val="22"/>
              </w:rPr>
            </w:pPr>
            <w:r w:rsidRPr="00134831">
              <w:rPr>
                <w:sz w:val="22"/>
                <w:szCs w:val="22"/>
              </w:rPr>
              <w:t>Barnardo’s Incident reporting Form</w:t>
            </w:r>
          </w:p>
          <w:p w:rsidR="00D048A1" w:rsidRPr="00134831" w:rsidRDefault="00640855" w:rsidP="00134831">
            <w:pPr>
              <w:rPr>
                <w:sz w:val="22"/>
                <w:szCs w:val="22"/>
              </w:rPr>
            </w:pPr>
            <w:hyperlink r:id="rId26" w:history="1">
              <w:r w:rsidR="00134831" w:rsidRPr="00134831">
                <w:rPr>
                  <w:rStyle w:val="Hyperlink"/>
                  <w:b/>
                  <w:sz w:val="22"/>
                  <w:szCs w:val="22"/>
                </w:rPr>
                <w:t>(BIRF)</w:t>
              </w:r>
            </w:hyperlink>
          </w:p>
        </w:tc>
        <w:tc>
          <w:tcPr>
            <w:tcW w:w="2074" w:type="dxa"/>
          </w:tcPr>
          <w:p w:rsidR="00D048A1" w:rsidRPr="00134831" w:rsidRDefault="00134831" w:rsidP="00D048A1">
            <w:pPr>
              <w:rPr>
                <w:sz w:val="22"/>
                <w:szCs w:val="22"/>
              </w:rPr>
            </w:pPr>
            <w:r>
              <w:rPr>
                <w:sz w:val="22"/>
                <w:szCs w:val="22"/>
              </w:rPr>
              <w:t>Health and Safety policy</w:t>
            </w:r>
          </w:p>
        </w:tc>
        <w:tc>
          <w:tcPr>
            <w:tcW w:w="2217" w:type="dxa"/>
          </w:tcPr>
          <w:p w:rsidR="00134831" w:rsidRPr="00134831" w:rsidRDefault="00134831" w:rsidP="00134831">
            <w:pPr>
              <w:rPr>
                <w:sz w:val="22"/>
                <w:szCs w:val="22"/>
              </w:rPr>
            </w:pPr>
            <w:r w:rsidRPr="00134831">
              <w:rPr>
                <w:sz w:val="22"/>
                <w:szCs w:val="22"/>
              </w:rPr>
              <w:t>Refer also to national guidance  as details may vary slightly</w:t>
            </w:r>
          </w:p>
          <w:p w:rsidR="00D048A1" w:rsidRPr="00134831" w:rsidRDefault="00D048A1" w:rsidP="00D048A1">
            <w:pPr>
              <w:rPr>
                <w:sz w:val="22"/>
                <w:szCs w:val="22"/>
              </w:rPr>
            </w:pPr>
          </w:p>
        </w:tc>
      </w:tr>
      <w:tr w:rsidR="008839D8" w:rsidRPr="00134831" w:rsidTr="00322979">
        <w:tc>
          <w:tcPr>
            <w:tcW w:w="3085" w:type="dxa"/>
          </w:tcPr>
          <w:p w:rsidR="008839D8" w:rsidRPr="0015719D" w:rsidRDefault="008839D8" w:rsidP="00134831">
            <w:pPr>
              <w:rPr>
                <w:b/>
                <w:sz w:val="22"/>
                <w:szCs w:val="22"/>
              </w:rPr>
            </w:pPr>
            <w:r>
              <w:rPr>
                <w:b/>
                <w:sz w:val="22"/>
                <w:szCs w:val="22"/>
              </w:rPr>
              <w:t>7. Superficial Injury to a child under the age of 5 years.</w:t>
            </w:r>
          </w:p>
        </w:tc>
        <w:tc>
          <w:tcPr>
            <w:tcW w:w="3686" w:type="dxa"/>
          </w:tcPr>
          <w:p w:rsidR="008839D8" w:rsidRPr="00F47499" w:rsidRDefault="008839D8" w:rsidP="008839D8">
            <w:pPr>
              <w:rPr>
                <w:sz w:val="22"/>
                <w:szCs w:val="22"/>
              </w:rPr>
            </w:pPr>
            <w:r w:rsidRPr="00F47499">
              <w:rPr>
                <w:sz w:val="22"/>
                <w:szCs w:val="22"/>
              </w:rPr>
              <w:t>Health and Safety Team</w:t>
            </w:r>
          </w:p>
          <w:p w:rsidR="008839D8" w:rsidRPr="00134831" w:rsidRDefault="008839D8" w:rsidP="00134831">
            <w:pPr>
              <w:rPr>
                <w:sz w:val="22"/>
                <w:szCs w:val="22"/>
              </w:rPr>
            </w:pPr>
          </w:p>
        </w:tc>
        <w:tc>
          <w:tcPr>
            <w:tcW w:w="2114" w:type="dxa"/>
          </w:tcPr>
          <w:p w:rsidR="008839D8" w:rsidRPr="00134831" w:rsidRDefault="00640855" w:rsidP="00134831">
            <w:pPr>
              <w:rPr>
                <w:sz w:val="22"/>
                <w:szCs w:val="22"/>
              </w:rPr>
            </w:pPr>
            <w:hyperlink r:id="rId27" w:history="1">
              <w:r w:rsidR="008839D8" w:rsidRPr="008839D8">
                <w:rPr>
                  <w:rStyle w:val="Hyperlink"/>
                  <w:sz w:val="22"/>
                  <w:szCs w:val="22"/>
                </w:rPr>
                <w:t>Child Superficial Injury Database</w:t>
              </w:r>
            </w:hyperlink>
            <w:r w:rsidR="008839D8">
              <w:rPr>
                <w:sz w:val="22"/>
                <w:szCs w:val="22"/>
              </w:rPr>
              <w:t xml:space="preserve"> to be submitted </w:t>
            </w:r>
            <w:r w:rsidR="008839D8">
              <w:rPr>
                <w:sz w:val="22"/>
                <w:szCs w:val="22"/>
              </w:rPr>
              <w:lastRenderedPageBreak/>
              <w:t>quarterly.</w:t>
            </w:r>
          </w:p>
        </w:tc>
        <w:tc>
          <w:tcPr>
            <w:tcW w:w="2074" w:type="dxa"/>
          </w:tcPr>
          <w:p w:rsidR="008839D8" w:rsidRDefault="008839D8" w:rsidP="00D048A1">
            <w:pPr>
              <w:rPr>
                <w:sz w:val="22"/>
                <w:szCs w:val="22"/>
              </w:rPr>
            </w:pPr>
            <w:r>
              <w:rPr>
                <w:sz w:val="22"/>
                <w:szCs w:val="22"/>
              </w:rPr>
              <w:lastRenderedPageBreak/>
              <w:t>Health and Safety Policy</w:t>
            </w:r>
          </w:p>
        </w:tc>
        <w:tc>
          <w:tcPr>
            <w:tcW w:w="2217" w:type="dxa"/>
          </w:tcPr>
          <w:p w:rsidR="008839D8" w:rsidRPr="00134831" w:rsidRDefault="008839D8" w:rsidP="008839D8">
            <w:pPr>
              <w:rPr>
                <w:sz w:val="22"/>
                <w:szCs w:val="22"/>
              </w:rPr>
            </w:pPr>
            <w:r>
              <w:rPr>
                <w:sz w:val="22"/>
                <w:szCs w:val="22"/>
              </w:rPr>
              <w:t xml:space="preserve">Superficial injuries, such as bumps, that do </w:t>
            </w:r>
            <w:r>
              <w:rPr>
                <w:sz w:val="22"/>
                <w:szCs w:val="22"/>
              </w:rPr>
              <w:lastRenderedPageBreak/>
              <w:t xml:space="preserve">not require first aid should be recorded on the Child superficial injuries form and information from these noted on the </w:t>
            </w:r>
            <w:hyperlink r:id="rId28" w:history="1">
              <w:r w:rsidRPr="008839D8">
                <w:rPr>
                  <w:rStyle w:val="Hyperlink"/>
                  <w:sz w:val="22"/>
                  <w:szCs w:val="22"/>
                </w:rPr>
                <w:t>Child Superficial Injury Database</w:t>
              </w:r>
            </w:hyperlink>
            <w:r>
              <w:rPr>
                <w:sz w:val="22"/>
                <w:szCs w:val="22"/>
              </w:rPr>
              <w:t>.</w:t>
            </w:r>
          </w:p>
        </w:tc>
      </w:tr>
      <w:tr w:rsidR="00F47499" w:rsidRPr="00134831" w:rsidTr="00322979">
        <w:tc>
          <w:tcPr>
            <w:tcW w:w="3085" w:type="dxa"/>
          </w:tcPr>
          <w:p w:rsidR="00F47499" w:rsidRPr="00F47499" w:rsidRDefault="008839D8" w:rsidP="00134831">
            <w:pPr>
              <w:rPr>
                <w:sz w:val="22"/>
                <w:szCs w:val="22"/>
              </w:rPr>
            </w:pPr>
            <w:proofErr w:type="gramStart"/>
            <w:r>
              <w:rPr>
                <w:b/>
                <w:sz w:val="22"/>
                <w:szCs w:val="22"/>
              </w:rPr>
              <w:lastRenderedPageBreak/>
              <w:t xml:space="preserve">8 </w:t>
            </w:r>
            <w:r w:rsidR="00F47499" w:rsidRPr="00F47499">
              <w:rPr>
                <w:b/>
                <w:sz w:val="22"/>
                <w:szCs w:val="22"/>
              </w:rPr>
              <w:t>.</w:t>
            </w:r>
            <w:proofErr w:type="gramEnd"/>
            <w:r w:rsidR="00F47499" w:rsidRPr="00F47499">
              <w:rPr>
                <w:b/>
                <w:sz w:val="22"/>
                <w:szCs w:val="22"/>
              </w:rPr>
              <w:t xml:space="preserve"> Fire in Barnardo’s</w:t>
            </w:r>
            <w:r w:rsidR="00F47499">
              <w:rPr>
                <w:sz w:val="22"/>
                <w:szCs w:val="22"/>
              </w:rPr>
              <w:t xml:space="preserve"> </w:t>
            </w:r>
            <w:r w:rsidR="00F47499" w:rsidRPr="00F47499">
              <w:rPr>
                <w:b/>
                <w:sz w:val="22"/>
                <w:szCs w:val="22"/>
              </w:rPr>
              <w:t>Premises</w:t>
            </w:r>
          </w:p>
        </w:tc>
        <w:tc>
          <w:tcPr>
            <w:tcW w:w="3686" w:type="dxa"/>
          </w:tcPr>
          <w:p w:rsidR="00F47499" w:rsidRPr="00F47499" w:rsidRDefault="00F47499" w:rsidP="00F47499">
            <w:pPr>
              <w:rPr>
                <w:sz w:val="22"/>
                <w:szCs w:val="22"/>
              </w:rPr>
            </w:pPr>
            <w:r w:rsidRPr="00F47499">
              <w:rPr>
                <w:sz w:val="22"/>
                <w:szCs w:val="22"/>
              </w:rPr>
              <w:t>Health and Safety Team</w:t>
            </w:r>
          </w:p>
          <w:p w:rsidR="00F47499" w:rsidRPr="00134831" w:rsidRDefault="00F47499" w:rsidP="00134831">
            <w:pPr>
              <w:rPr>
                <w:sz w:val="22"/>
                <w:szCs w:val="22"/>
              </w:rPr>
            </w:pPr>
          </w:p>
        </w:tc>
        <w:tc>
          <w:tcPr>
            <w:tcW w:w="2114" w:type="dxa"/>
          </w:tcPr>
          <w:p w:rsidR="00F47499" w:rsidRPr="00F47499" w:rsidRDefault="00640855" w:rsidP="00F47499">
            <w:pPr>
              <w:rPr>
                <w:sz w:val="22"/>
                <w:szCs w:val="22"/>
              </w:rPr>
            </w:pPr>
            <w:hyperlink r:id="rId29" w:history="1">
              <w:r w:rsidR="00F47499" w:rsidRPr="00F47499">
                <w:rPr>
                  <w:rStyle w:val="Hyperlink"/>
                  <w:sz w:val="22"/>
                  <w:szCs w:val="22"/>
                </w:rPr>
                <w:t>b-hive - Notification of a fire form (P900)</w:t>
              </w:r>
            </w:hyperlink>
          </w:p>
          <w:p w:rsidR="00F47499" w:rsidRPr="00134831" w:rsidRDefault="00F47499" w:rsidP="00134831">
            <w:pPr>
              <w:rPr>
                <w:sz w:val="22"/>
                <w:szCs w:val="22"/>
              </w:rPr>
            </w:pPr>
          </w:p>
        </w:tc>
        <w:tc>
          <w:tcPr>
            <w:tcW w:w="2074" w:type="dxa"/>
          </w:tcPr>
          <w:p w:rsidR="00F47499" w:rsidRDefault="00F47499" w:rsidP="00D048A1">
            <w:pPr>
              <w:rPr>
                <w:sz w:val="22"/>
                <w:szCs w:val="22"/>
              </w:rPr>
            </w:pPr>
            <w:r>
              <w:rPr>
                <w:sz w:val="22"/>
                <w:szCs w:val="22"/>
              </w:rPr>
              <w:t>Health and Safety Policy</w:t>
            </w:r>
          </w:p>
        </w:tc>
        <w:tc>
          <w:tcPr>
            <w:tcW w:w="2217" w:type="dxa"/>
          </w:tcPr>
          <w:p w:rsidR="00F47499" w:rsidRPr="00134831" w:rsidRDefault="00F47499" w:rsidP="00F47499">
            <w:pPr>
              <w:rPr>
                <w:sz w:val="22"/>
                <w:szCs w:val="22"/>
              </w:rPr>
            </w:pPr>
            <w:r>
              <w:rPr>
                <w:sz w:val="22"/>
                <w:szCs w:val="22"/>
              </w:rPr>
              <w:t xml:space="preserve">Completed form and any supporting photographs to be forwarded within 2 days. </w:t>
            </w:r>
          </w:p>
        </w:tc>
      </w:tr>
      <w:tr w:rsidR="00134831" w:rsidRPr="00134831" w:rsidTr="00322979">
        <w:tc>
          <w:tcPr>
            <w:tcW w:w="3085" w:type="dxa"/>
          </w:tcPr>
          <w:p w:rsidR="00D048A1" w:rsidRPr="00134831" w:rsidRDefault="008839D8" w:rsidP="00D048A1">
            <w:pPr>
              <w:rPr>
                <w:b/>
                <w:sz w:val="22"/>
                <w:szCs w:val="22"/>
              </w:rPr>
            </w:pPr>
            <w:r>
              <w:rPr>
                <w:b/>
                <w:sz w:val="22"/>
                <w:szCs w:val="22"/>
              </w:rPr>
              <w:t>9</w:t>
            </w:r>
            <w:r w:rsidR="008F7D6E" w:rsidRPr="00134831">
              <w:rPr>
                <w:b/>
                <w:sz w:val="22"/>
                <w:szCs w:val="22"/>
              </w:rPr>
              <w:t>. Complaint by or on behalf of a service user or carer.</w:t>
            </w:r>
          </w:p>
        </w:tc>
        <w:tc>
          <w:tcPr>
            <w:tcW w:w="3686" w:type="dxa"/>
          </w:tcPr>
          <w:p w:rsidR="00D048A1" w:rsidRPr="00134831" w:rsidRDefault="008F7D6E" w:rsidP="00D048A1">
            <w:pPr>
              <w:rPr>
                <w:sz w:val="22"/>
                <w:szCs w:val="22"/>
              </w:rPr>
            </w:pPr>
            <w:r w:rsidRPr="00134831">
              <w:rPr>
                <w:sz w:val="22"/>
                <w:szCs w:val="22"/>
              </w:rPr>
              <w:t>Business Support Team</w:t>
            </w:r>
          </w:p>
        </w:tc>
        <w:tc>
          <w:tcPr>
            <w:tcW w:w="2114" w:type="dxa"/>
          </w:tcPr>
          <w:p w:rsidR="00D048A1" w:rsidRPr="00134831" w:rsidRDefault="00640855" w:rsidP="00D048A1">
            <w:pPr>
              <w:rPr>
                <w:sz w:val="22"/>
                <w:szCs w:val="22"/>
              </w:rPr>
            </w:pPr>
            <w:hyperlink r:id="rId30" w:history="1">
              <w:r w:rsidR="00322979" w:rsidRPr="00322979">
                <w:rPr>
                  <w:rStyle w:val="Hyperlink"/>
                  <w:sz w:val="22"/>
                  <w:szCs w:val="22"/>
                </w:rPr>
                <w:t>CR1</w:t>
              </w:r>
            </w:hyperlink>
            <w:r w:rsidR="00591293">
              <w:rPr>
                <w:sz w:val="22"/>
                <w:szCs w:val="22"/>
              </w:rPr>
              <w:t xml:space="preserve"> </w:t>
            </w:r>
            <w:r w:rsidR="00134831" w:rsidRPr="00134831">
              <w:rPr>
                <w:sz w:val="22"/>
                <w:szCs w:val="22"/>
              </w:rPr>
              <w:t xml:space="preserve"> to be completed when complaint </w:t>
            </w:r>
            <w:r w:rsidR="00591293">
              <w:rPr>
                <w:sz w:val="22"/>
                <w:szCs w:val="22"/>
              </w:rPr>
              <w:t xml:space="preserve">is </w:t>
            </w:r>
            <w:r w:rsidR="00134831" w:rsidRPr="00134831">
              <w:rPr>
                <w:sz w:val="22"/>
                <w:szCs w:val="22"/>
              </w:rPr>
              <w:t>received.</w:t>
            </w:r>
          </w:p>
          <w:p w:rsidR="00134831" w:rsidRPr="00134831" w:rsidRDefault="00640855" w:rsidP="00322979">
            <w:pPr>
              <w:rPr>
                <w:sz w:val="22"/>
                <w:szCs w:val="22"/>
              </w:rPr>
            </w:pPr>
            <w:hyperlink r:id="rId31" w:history="1">
              <w:r w:rsidR="00A419F2" w:rsidRPr="00A419F2">
                <w:rPr>
                  <w:rStyle w:val="Hyperlink"/>
                  <w:sz w:val="22"/>
                  <w:szCs w:val="22"/>
                </w:rPr>
                <w:t>CR2</w:t>
              </w:r>
            </w:hyperlink>
            <w:r w:rsidR="00A419F2">
              <w:rPr>
                <w:sz w:val="22"/>
                <w:szCs w:val="22"/>
              </w:rPr>
              <w:t xml:space="preserve"> </w:t>
            </w:r>
            <w:r w:rsidR="00134831" w:rsidRPr="00134831">
              <w:rPr>
                <w:sz w:val="22"/>
                <w:szCs w:val="22"/>
              </w:rPr>
              <w:t>to be completed with outcome of investigation of complaint.</w:t>
            </w:r>
          </w:p>
        </w:tc>
        <w:tc>
          <w:tcPr>
            <w:tcW w:w="2074" w:type="dxa"/>
          </w:tcPr>
          <w:p w:rsidR="00D048A1" w:rsidRPr="00134831" w:rsidRDefault="00640855" w:rsidP="00591293">
            <w:pPr>
              <w:rPr>
                <w:sz w:val="22"/>
                <w:szCs w:val="22"/>
              </w:rPr>
            </w:pPr>
            <w:hyperlink r:id="rId32" w:history="1">
              <w:r w:rsidR="00591293" w:rsidRPr="00591293">
                <w:rPr>
                  <w:rStyle w:val="Hyperlink"/>
                  <w:sz w:val="22"/>
                  <w:szCs w:val="22"/>
                </w:rPr>
                <w:t>Complaints policy</w:t>
              </w:r>
            </w:hyperlink>
          </w:p>
        </w:tc>
        <w:tc>
          <w:tcPr>
            <w:tcW w:w="2217" w:type="dxa"/>
          </w:tcPr>
          <w:p w:rsidR="00D048A1" w:rsidRPr="00134831" w:rsidRDefault="00134831" w:rsidP="00A419F2">
            <w:pPr>
              <w:rPr>
                <w:sz w:val="22"/>
                <w:szCs w:val="22"/>
              </w:rPr>
            </w:pPr>
            <w:r w:rsidRPr="00134831">
              <w:rPr>
                <w:sz w:val="22"/>
                <w:szCs w:val="22"/>
              </w:rPr>
              <w:t>Completed C</w:t>
            </w:r>
            <w:r w:rsidR="00A419F2">
              <w:rPr>
                <w:sz w:val="22"/>
                <w:szCs w:val="22"/>
              </w:rPr>
              <w:t>R</w:t>
            </w:r>
            <w:r w:rsidRPr="00134831">
              <w:rPr>
                <w:sz w:val="22"/>
                <w:szCs w:val="22"/>
              </w:rPr>
              <w:t>1 and C</w:t>
            </w:r>
            <w:r w:rsidR="00A419F2">
              <w:rPr>
                <w:sz w:val="22"/>
                <w:szCs w:val="22"/>
              </w:rPr>
              <w:t>R</w:t>
            </w:r>
            <w:r w:rsidRPr="00134831">
              <w:rPr>
                <w:sz w:val="22"/>
                <w:szCs w:val="22"/>
              </w:rPr>
              <w:t xml:space="preserve">2 forms should be sent to </w:t>
            </w:r>
            <w:r w:rsidR="00D50BB1">
              <w:rPr>
                <w:sz w:val="22"/>
                <w:szCs w:val="22"/>
              </w:rPr>
              <w:t xml:space="preserve">R/N/BL </w:t>
            </w:r>
            <w:r w:rsidRPr="00134831">
              <w:rPr>
                <w:sz w:val="22"/>
                <w:szCs w:val="22"/>
              </w:rPr>
              <w:t>Complaints Lead</w:t>
            </w:r>
            <w:r w:rsidR="00D50BB1">
              <w:rPr>
                <w:sz w:val="22"/>
                <w:szCs w:val="22"/>
              </w:rPr>
              <w:t xml:space="preserve"> manager </w:t>
            </w:r>
            <w:r w:rsidRPr="00134831">
              <w:rPr>
                <w:sz w:val="22"/>
                <w:szCs w:val="22"/>
              </w:rPr>
              <w:t xml:space="preserve"> who will forward to Business Support Team</w:t>
            </w:r>
          </w:p>
        </w:tc>
      </w:tr>
      <w:tr w:rsidR="00134831" w:rsidRPr="00134831" w:rsidTr="00322979">
        <w:tc>
          <w:tcPr>
            <w:tcW w:w="3085" w:type="dxa"/>
          </w:tcPr>
          <w:p w:rsidR="00D048A1" w:rsidRPr="00134831" w:rsidRDefault="008839D8" w:rsidP="00134831">
            <w:pPr>
              <w:rPr>
                <w:b/>
                <w:sz w:val="22"/>
                <w:szCs w:val="22"/>
              </w:rPr>
            </w:pPr>
            <w:r>
              <w:rPr>
                <w:b/>
                <w:sz w:val="22"/>
                <w:szCs w:val="22"/>
              </w:rPr>
              <w:t>10</w:t>
            </w:r>
            <w:r w:rsidR="008F7D6E" w:rsidRPr="00134831">
              <w:rPr>
                <w:b/>
                <w:sz w:val="22"/>
                <w:szCs w:val="22"/>
              </w:rPr>
              <w:t>. Data Protection incident, including breaches and near misses.</w:t>
            </w:r>
          </w:p>
        </w:tc>
        <w:tc>
          <w:tcPr>
            <w:tcW w:w="3686" w:type="dxa"/>
          </w:tcPr>
          <w:p w:rsidR="00D048A1" w:rsidRPr="00134831" w:rsidRDefault="008F7D6E" w:rsidP="00D048A1">
            <w:pPr>
              <w:rPr>
                <w:sz w:val="22"/>
                <w:szCs w:val="22"/>
              </w:rPr>
            </w:pPr>
            <w:r w:rsidRPr="00134831">
              <w:rPr>
                <w:sz w:val="22"/>
                <w:szCs w:val="22"/>
              </w:rPr>
              <w:t>Head of Business Support</w:t>
            </w:r>
          </w:p>
          <w:p w:rsidR="008F7D6E" w:rsidRPr="00134831" w:rsidRDefault="008F7D6E" w:rsidP="00D048A1">
            <w:pPr>
              <w:rPr>
                <w:sz w:val="22"/>
                <w:szCs w:val="22"/>
              </w:rPr>
            </w:pPr>
          </w:p>
          <w:p w:rsidR="008F7D6E" w:rsidRPr="00134831" w:rsidRDefault="008F7D6E" w:rsidP="00D048A1">
            <w:pPr>
              <w:rPr>
                <w:sz w:val="22"/>
                <w:szCs w:val="22"/>
              </w:rPr>
            </w:pPr>
            <w:r w:rsidRPr="00134831">
              <w:rPr>
                <w:sz w:val="22"/>
                <w:szCs w:val="22"/>
              </w:rPr>
              <w:t>IS Service desk if breach involves loss or misuse of Barnardo’s IT equipment</w:t>
            </w:r>
          </w:p>
        </w:tc>
        <w:tc>
          <w:tcPr>
            <w:tcW w:w="2114" w:type="dxa"/>
          </w:tcPr>
          <w:p w:rsidR="00D048A1" w:rsidRPr="00134831" w:rsidRDefault="00640855" w:rsidP="00591293">
            <w:pPr>
              <w:rPr>
                <w:sz w:val="22"/>
                <w:szCs w:val="22"/>
              </w:rPr>
            </w:pPr>
            <w:hyperlink r:id="rId33" w:history="1">
              <w:r w:rsidR="00951351" w:rsidRPr="00951351">
                <w:rPr>
                  <w:rStyle w:val="Hyperlink"/>
                  <w:sz w:val="22"/>
                  <w:szCs w:val="22"/>
                </w:rPr>
                <w:t xml:space="preserve">Data Breach Reporting </w:t>
              </w:r>
            </w:hyperlink>
            <w:hyperlink r:id="rId34" w:history="1">
              <w:r w:rsidR="00951351" w:rsidRPr="00951351">
                <w:rPr>
                  <w:rStyle w:val="Hyperlink"/>
                  <w:sz w:val="22"/>
                  <w:szCs w:val="22"/>
                </w:rPr>
                <w:t>Form</w:t>
              </w:r>
            </w:hyperlink>
          </w:p>
        </w:tc>
        <w:tc>
          <w:tcPr>
            <w:tcW w:w="2074" w:type="dxa"/>
          </w:tcPr>
          <w:p w:rsidR="00D048A1" w:rsidRPr="00134831" w:rsidRDefault="00134831" w:rsidP="00D048A1">
            <w:pPr>
              <w:rPr>
                <w:sz w:val="22"/>
                <w:szCs w:val="22"/>
              </w:rPr>
            </w:pPr>
            <w:r>
              <w:rPr>
                <w:sz w:val="22"/>
                <w:szCs w:val="22"/>
              </w:rPr>
              <w:t>Corporate Data Protection Policy</w:t>
            </w:r>
          </w:p>
        </w:tc>
        <w:tc>
          <w:tcPr>
            <w:tcW w:w="2217" w:type="dxa"/>
          </w:tcPr>
          <w:p w:rsidR="00D048A1" w:rsidRPr="00134831" w:rsidRDefault="00134831" w:rsidP="00D048A1">
            <w:pPr>
              <w:rPr>
                <w:sz w:val="22"/>
                <w:szCs w:val="22"/>
              </w:rPr>
            </w:pPr>
            <w:r>
              <w:rPr>
                <w:sz w:val="22"/>
                <w:szCs w:val="22"/>
              </w:rPr>
              <w:t>Advice may be obtained from management Information Officers</w:t>
            </w:r>
          </w:p>
        </w:tc>
      </w:tr>
      <w:tr w:rsidR="00134831" w:rsidRPr="00134831" w:rsidTr="00322979">
        <w:tc>
          <w:tcPr>
            <w:tcW w:w="3085" w:type="dxa"/>
          </w:tcPr>
          <w:p w:rsidR="00D048A1" w:rsidRPr="00134831" w:rsidRDefault="008839D8" w:rsidP="00D048A1">
            <w:pPr>
              <w:rPr>
                <w:b/>
                <w:sz w:val="22"/>
                <w:szCs w:val="22"/>
              </w:rPr>
            </w:pPr>
            <w:r>
              <w:rPr>
                <w:b/>
                <w:sz w:val="22"/>
                <w:szCs w:val="22"/>
              </w:rPr>
              <w:t>11</w:t>
            </w:r>
            <w:r w:rsidR="008F7D6E" w:rsidRPr="00134831">
              <w:rPr>
                <w:b/>
                <w:sz w:val="22"/>
                <w:szCs w:val="22"/>
              </w:rPr>
              <w:t>. External inspection graded inadequate</w:t>
            </w:r>
          </w:p>
        </w:tc>
        <w:tc>
          <w:tcPr>
            <w:tcW w:w="3686" w:type="dxa"/>
          </w:tcPr>
          <w:p w:rsidR="00D048A1" w:rsidRDefault="008F7D6E" w:rsidP="00D048A1">
            <w:pPr>
              <w:rPr>
                <w:sz w:val="22"/>
                <w:szCs w:val="22"/>
              </w:rPr>
            </w:pPr>
            <w:r w:rsidRPr="00134831">
              <w:rPr>
                <w:sz w:val="22"/>
                <w:szCs w:val="22"/>
              </w:rPr>
              <w:t>Responsible UK Director</w:t>
            </w:r>
          </w:p>
          <w:p w:rsidR="00134831" w:rsidRDefault="00134831" w:rsidP="00D048A1">
            <w:pPr>
              <w:rPr>
                <w:sz w:val="22"/>
                <w:szCs w:val="22"/>
              </w:rPr>
            </w:pPr>
            <w:r>
              <w:rPr>
                <w:sz w:val="22"/>
                <w:szCs w:val="22"/>
              </w:rPr>
              <w:t>Head of Business Support</w:t>
            </w:r>
          </w:p>
          <w:p w:rsidR="00134831" w:rsidRPr="00134831" w:rsidRDefault="00134831" w:rsidP="00D048A1">
            <w:pPr>
              <w:rPr>
                <w:sz w:val="22"/>
                <w:szCs w:val="22"/>
              </w:rPr>
            </w:pPr>
          </w:p>
        </w:tc>
        <w:tc>
          <w:tcPr>
            <w:tcW w:w="2114" w:type="dxa"/>
          </w:tcPr>
          <w:p w:rsidR="00D048A1" w:rsidRPr="00134831" w:rsidRDefault="008F7D6E" w:rsidP="00D048A1">
            <w:pPr>
              <w:rPr>
                <w:sz w:val="22"/>
                <w:szCs w:val="22"/>
              </w:rPr>
            </w:pPr>
            <w:r w:rsidRPr="00134831">
              <w:rPr>
                <w:sz w:val="22"/>
                <w:szCs w:val="22"/>
              </w:rPr>
              <w:lastRenderedPageBreak/>
              <w:t xml:space="preserve">E mail to </w:t>
            </w:r>
            <w:r w:rsidR="00134831">
              <w:rPr>
                <w:sz w:val="22"/>
                <w:szCs w:val="22"/>
              </w:rPr>
              <w:t>report incident</w:t>
            </w:r>
          </w:p>
        </w:tc>
        <w:tc>
          <w:tcPr>
            <w:tcW w:w="2074" w:type="dxa"/>
          </w:tcPr>
          <w:p w:rsidR="00D048A1" w:rsidRPr="00134831" w:rsidRDefault="00134831" w:rsidP="00D048A1">
            <w:pPr>
              <w:rPr>
                <w:sz w:val="22"/>
                <w:szCs w:val="22"/>
              </w:rPr>
            </w:pPr>
            <w:r>
              <w:rPr>
                <w:sz w:val="22"/>
                <w:szCs w:val="22"/>
              </w:rPr>
              <w:t xml:space="preserve">External Inspection </w:t>
            </w:r>
            <w:r>
              <w:rPr>
                <w:sz w:val="22"/>
                <w:szCs w:val="22"/>
              </w:rPr>
              <w:lastRenderedPageBreak/>
              <w:t>Guidance</w:t>
            </w:r>
          </w:p>
        </w:tc>
        <w:tc>
          <w:tcPr>
            <w:tcW w:w="2217" w:type="dxa"/>
          </w:tcPr>
          <w:p w:rsidR="00D048A1" w:rsidRPr="00134831" w:rsidRDefault="00D048A1" w:rsidP="00D048A1">
            <w:pPr>
              <w:rPr>
                <w:sz w:val="22"/>
                <w:szCs w:val="22"/>
              </w:rPr>
            </w:pPr>
          </w:p>
        </w:tc>
      </w:tr>
      <w:tr w:rsidR="00134831" w:rsidRPr="00134831" w:rsidTr="00322979">
        <w:tc>
          <w:tcPr>
            <w:tcW w:w="3085" w:type="dxa"/>
          </w:tcPr>
          <w:p w:rsidR="00D048A1" w:rsidRPr="00134831" w:rsidRDefault="008839D8" w:rsidP="00D048A1">
            <w:pPr>
              <w:rPr>
                <w:b/>
                <w:sz w:val="22"/>
                <w:szCs w:val="22"/>
              </w:rPr>
            </w:pPr>
            <w:r>
              <w:rPr>
                <w:b/>
                <w:sz w:val="22"/>
                <w:szCs w:val="22"/>
              </w:rPr>
              <w:lastRenderedPageBreak/>
              <w:t>12</w:t>
            </w:r>
            <w:r w:rsidR="008F7D6E" w:rsidRPr="00134831">
              <w:rPr>
                <w:b/>
                <w:sz w:val="22"/>
                <w:szCs w:val="22"/>
              </w:rPr>
              <w:t>. Incident that could provoke adverse publicity or bring the organisation into disrepute</w:t>
            </w:r>
          </w:p>
        </w:tc>
        <w:tc>
          <w:tcPr>
            <w:tcW w:w="3686" w:type="dxa"/>
          </w:tcPr>
          <w:p w:rsidR="00D048A1" w:rsidRPr="00134831" w:rsidRDefault="008F7D6E" w:rsidP="00D048A1">
            <w:pPr>
              <w:rPr>
                <w:sz w:val="22"/>
                <w:szCs w:val="22"/>
              </w:rPr>
            </w:pPr>
            <w:r w:rsidRPr="00134831">
              <w:rPr>
                <w:sz w:val="22"/>
                <w:szCs w:val="22"/>
              </w:rPr>
              <w:t>Responsible UK Director</w:t>
            </w:r>
          </w:p>
          <w:p w:rsidR="008F7D6E" w:rsidRPr="00134831" w:rsidRDefault="008F7D6E" w:rsidP="00D048A1">
            <w:pPr>
              <w:rPr>
                <w:sz w:val="22"/>
                <w:szCs w:val="22"/>
              </w:rPr>
            </w:pPr>
          </w:p>
          <w:p w:rsidR="008F7D6E" w:rsidRPr="00134831" w:rsidRDefault="008F7D6E" w:rsidP="00D048A1">
            <w:pPr>
              <w:rPr>
                <w:sz w:val="22"/>
                <w:szCs w:val="22"/>
              </w:rPr>
            </w:pPr>
            <w:r w:rsidRPr="00134831">
              <w:rPr>
                <w:sz w:val="22"/>
                <w:szCs w:val="22"/>
              </w:rPr>
              <w:t>Media and communications Manager</w:t>
            </w:r>
          </w:p>
        </w:tc>
        <w:tc>
          <w:tcPr>
            <w:tcW w:w="2114" w:type="dxa"/>
          </w:tcPr>
          <w:p w:rsidR="00D048A1" w:rsidRPr="00134831" w:rsidRDefault="00D048A1" w:rsidP="00D048A1">
            <w:pPr>
              <w:rPr>
                <w:sz w:val="22"/>
                <w:szCs w:val="22"/>
              </w:rPr>
            </w:pPr>
          </w:p>
        </w:tc>
        <w:tc>
          <w:tcPr>
            <w:tcW w:w="2074" w:type="dxa"/>
          </w:tcPr>
          <w:p w:rsidR="00D048A1" w:rsidRPr="00134831" w:rsidRDefault="00D048A1" w:rsidP="00D048A1">
            <w:pPr>
              <w:rPr>
                <w:sz w:val="22"/>
                <w:szCs w:val="22"/>
              </w:rPr>
            </w:pPr>
          </w:p>
        </w:tc>
        <w:tc>
          <w:tcPr>
            <w:tcW w:w="2217" w:type="dxa"/>
          </w:tcPr>
          <w:p w:rsidR="00D048A1" w:rsidRPr="00134831" w:rsidRDefault="00E312A5" w:rsidP="00D048A1">
            <w:pPr>
              <w:rPr>
                <w:sz w:val="22"/>
                <w:szCs w:val="22"/>
              </w:rPr>
            </w:pPr>
            <w:r>
              <w:rPr>
                <w:sz w:val="22"/>
                <w:szCs w:val="22"/>
              </w:rPr>
              <w:t xml:space="preserve">Discuss </w:t>
            </w:r>
            <w:r w:rsidR="00134831">
              <w:rPr>
                <w:sz w:val="22"/>
                <w:szCs w:val="22"/>
              </w:rPr>
              <w:t>with R/N/BL Director to agree actions and how this is reported.</w:t>
            </w:r>
          </w:p>
        </w:tc>
      </w:tr>
      <w:tr w:rsidR="00134831" w:rsidRPr="00134831" w:rsidTr="00322979">
        <w:tc>
          <w:tcPr>
            <w:tcW w:w="3085" w:type="dxa"/>
          </w:tcPr>
          <w:p w:rsidR="00134831" w:rsidRPr="00134831" w:rsidRDefault="008839D8" w:rsidP="00D048A1">
            <w:pPr>
              <w:rPr>
                <w:b/>
                <w:sz w:val="22"/>
                <w:szCs w:val="22"/>
              </w:rPr>
            </w:pPr>
            <w:r>
              <w:rPr>
                <w:b/>
                <w:sz w:val="22"/>
                <w:szCs w:val="22"/>
              </w:rPr>
              <w:t>13</w:t>
            </w:r>
            <w:r w:rsidR="00134831">
              <w:rPr>
                <w:b/>
                <w:sz w:val="22"/>
                <w:szCs w:val="22"/>
              </w:rPr>
              <w:t>. Claim against Barnardo’s</w:t>
            </w:r>
          </w:p>
        </w:tc>
        <w:tc>
          <w:tcPr>
            <w:tcW w:w="3686" w:type="dxa"/>
          </w:tcPr>
          <w:p w:rsidR="00134831" w:rsidRPr="00134831" w:rsidRDefault="00134831" w:rsidP="00D048A1">
            <w:pPr>
              <w:rPr>
                <w:sz w:val="22"/>
                <w:szCs w:val="22"/>
              </w:rPr>
            </w:pPr>
            <w:r>
              <w:rPr>
                <w:sz w:val="22"/>
                <w:szCs w:val="22"/>
              </w:rPr>
              <w:t>Barnardo’s Insurance Team</w:t>
            </w:r>
          </w:p>
        </w:tc>
        <w:tc>
          <w:tcPr>
            <w:tcW w:w="2114" w:type="dxa"/>
          </w:tcPr>
          <w:p w:rsidR="00134831" w:rsidRPr="00134831" w:rsidRDefault="00134831" w:rsidP="00D048A1">
            <w:pPr>
              <w:rPr>
                <w:sz w:val="22"/>
                <w:szCs w:val="22"/>
              </w:rPr>
            </w:pPr>
          </w:p>
        </w:tc>
        <w:tc>
          <w:tcPr>
            <w:tcW w:w="2074" w:type="dxa"/>
          </w:tcPr>
          <w:p w:rsidR="00134831" w:rsidRPr="00134831" w:rsidRDefault="00134831" w:rsidP="00D048A1">
            <w:pPr>
              <w:rPr>
                <w:sz w:val="22"/>
                <w:szCs w:val="22"/>
              </w:rPr>
            </w:pPr>
          </w:p>
        </w:tc>
        <w:tc>
          <w:tcPr>
            <w:tcW w:w="2217" w:type="dxa"/>
          </w:tcPr>
          <w:p w:rsidR="00134831" w:rsidRDefault="00134831" w:rsidP="00D048A1">
            <w:pPr>
              <w:rPr>
                <w:sz w:val="22"/>
                <w:szCs w:val="22"/>
              </w:rPr>
            </w:pPr>
          </w:p>
        </w:tc>
      </w:tr>
    </w:tbl>
    <w:p w:rsidR="0015719D" w:rsidRDefault="0015719D" w:rsidP="00D048A1">
      <w:pPr>
        <w:rPr>
          <w:b/>
          <w:sz w:val="22"/>
          <w:szCs w:val="22"/>
          <w:u w:val="single"/>
        </w:rPr>
      </w:pPr>
    </w:p>
    <w:p w:rsidR="0015719D" w:rsidRDefault="0015719D" w:rsidP="00D048A1">
      <w:pPr>
        <w:rPr>
          <w:b/>
          <w:sz w:val="22"/>
          <w:szCs w:val="22"/>
          <w:u w:val="single"/>
        </w:rPr>
      </w:pPr>
    </w:p>
    <w:p w:rsidR="0015719D" w:rsidRPr="0015719D" w:rsidRDefault="0015719D" w:rsidP="0015719D">
      <w:pPr>
        <w:contextualSpacing/>
        <w:jc w:val="both"/>
        <w:rPr>
          <w:rFonts w:eastAsia="MS ??" w:cs="Calibri"/>
          <w:sz w:val="20"/>
          <w:szCs w:val="20"/>
        </w:rPr>
      </w:pPr>
      <w:r w:rsidRPr="0015719D">
        <w:rPr>
          <w:rFonts w:eastAsia="MS ??" w:cs="Calibri"/>
          <w:b/>
          <w:sz w:val="20"/>
          <w:szCs w:val="20"/>
        </w:rPr>
        <w:t>A Serious Safeguarding Incident is defined as</w:t>
      </w:r>
      <w:r w:rsidRPr="0015719D">
        <w:rPr>
          <w:rFonts w:eastAsia="MS ??" w:cs="Calibri"/>
          <w:sz w:val="20"/>
          <w:szCs w:val="20"/>
        </w:rPr>
        <w:t xml:space="preserve"> </w:t>
      </w:r>
    </w:p>
    <w:p w:rsidR="0015719D" w:rsidRPr="0015719D" w:rsidRDefault="0015719D" w:rsidP="0015719D">
      <w:pPr>
        <w:numPr>
          <w:ilvl w:val="0"/>
          <w:numId w:val="2"/>
        </w:numPr>
        <w:spacing w:before="40" w:after="40" w:line="300" w:lineRule="atLeast"/>
        <w:ind w:left="851"/>
        <w:jc w:val="both"/>
        <w:rPr>
          <w:rFonts w:eastAsia="MS ??" w:cs="Calibri"/>
          <w:i/>
          <w:sz w:val="20"/>
          <w:szCs w:val="20"/>
        </w:rPr>
      </w:pPr>
      <w:r w:rsidRPr="0015719D">
        <w:rPr>
          <w:rFonts w:eastAsia="MS ??" w:cs="Calibri"/>
          <w:sz w:val="20"/>
          <w:szCs w:val="20"/>
        </w:rPr>
        <w:t xml:space="preserve">Unexpected or avoidable death of </w:t>
      </w:r>
      <w:r w:rsidRPr="0015719D">
        <w:rPr>
          <w:rFonts w:eastAsia="MS ??" w:cs="Calibri"/>
          <w:sz w:val="20"/>
          <w:szCs w:val="20"/>
          <w:lang w:val="en-US"/>
        </w:rPr>
        <w:t xml:space="preserve">child/adult at risk in receipt of services from Barnardo’s. </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sz w:val="20"/>
          <w:szCs w:val="20"/>
        </w:rPr>
        <w:t>Serious harm to child/young person/adult at risk, where a life-threatening outcome required intervention by Barnardo’s staff/volunteers to prevent further harm.</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sz w:val="20"/>
          <w:szCs w:val="20"/>
        </w:rPr>
        <w:t xml:space="preserve">Actions of a service–user which has caused serious harm to another child/adult. </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bCs/>
          <w:sz w:val="20"/>
          <w:szCs w:val="20"/>
        </w:rPr>
        <w:t xml:space="preserve">A ‘Near Miss’ where an </w:t>
      </w:r>
      <w:r w:rsidRPr="0015719D">
        <w:rPr>
          <w:rFonts w:eastAsia="MS ??" w:cs="Calibri"/>
          <w:sz w:val="20"/>
          <w:szCs w:val="20"/>
        </w:rPr>
        <w:t xml:space="preserve">unplanned event or incident did not result in serious injury, harm or illness, but had the potential to do so and only a fortunate/timely break in the chain of events prevented a serious outcome for the child/vulnerable adult. </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sz w:val="20"/>
          <w:szCs w:val="20"/>
          <w:lang w:val="en-US"/>
        </w:rPr>
        <w:t>An incident likely to result in adverse media attention and/or potential reputational damage for Barnardo’s.</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sz w:val="20"/>
          <w:szCs w:val="20"/>
          <w:lang w:val="en-US"/>
        </w:rPr>
        <w:t xml:space="preserve">An incident that is serious enough that it may lead to a Serious Case Review, and/or </w:t>
      </w:r>
      <w:r w:rsidRPr="0015719D">
        <w:rPr>
          <w:rFonts w:eastAsia="MS ??" w:cs="Calibri"/>
          <w:sz w:val="20"/>
          <w:szCs w:val="20"/>
        </w:rPr>
        <w:t>a</w:t>
      </w:r>
      <w:r w:rsidR="00D50BB1">
        <w:rPr>
          <w:rFonts w:eastAsia="MS ??" w:cs="Calibri"/>
          <w:sz w:val="20"/>
          <w:szCs w:val="20"/>
        </w:rPr>
        <w:t>ny</w:t>
      </w:r>
      <w:r w:rsidRPr="0015719D">
        <w:rPr>
          <w:rFonts w:eastAsia="MS ??" w:cs="Calibri"/>
          <w:sz w:val="20"/>
          <w:szCs w:val="20"/>
          <w:lang w:val="en-US"/>
        </w:rPr>
        <w:t xml:space="preserve"> case which indicates organized crime or large scale abuse.</w:t>
      </w:r>
    </w:p>
    <w:p w:rsidR="0015719D" w:rsidRPr="0015719D" w:rsidRDefault="0015719D" w:rsidP="0015719D">
      <w:pPr>
        <w:numPr>
          <w:ilvl w:val="0"/>
          <w:numId w:val="2"/>
        </w:numPr>
        <w:spacing w:before="40" w:after="40" w:line="300" w:lineRule="atLeast"/>
        <w:ind w:left="851"/>
        <w:jc w:val="both"/>
        <w:rPr>
          <w:rFonts w:eastAsia="MS ??" w:cs="Calibri"/>
          <w:sz w:val="20"/>
          <w:szCs w:val="20"/>
        </w:rPr>
      </w:pPr>
      <w:r w:rsidRPr="0015719D">
        <w:rPr>
          <w:rFonts w:eastAsia="MS ??" w:cs="Calibri"/>
          <w:sz w:val="20"/>
          <w:szCs w:val="20"/>
          <w:lang w:val="en-US"/>
        </w:rPr>
        <w:t>A safeguarding incident likely to raise concern about Barnardo’s policies or procedures.</w:t>
      </w:r>
    </w:p>
    <w:p w:rsidR="0015719D" w:rsidRPr="0015719D" w:rsidRDefault="0015719D" w:rsidP="0015719D">
      <w:pPr>
        <w:numPr>
          <w:ilvl w:val="0"/>
          <w:numId w:val="2"/>
        </w:numPr>
        <w:spacing w:before="40" w:after="40" w:line="300" w:lineRule="atLeast"/>
        <w:ind w:left="851"/>
        <w:jc w:val="both"/>
        <w:rPr>
          <w:b/>
          <w:sz w:val="20"/>
          <w:szCs w:val="20"/>
        </w:rPr>
      </w:pPr>
      <w:r w:rsidRPr="0015719D">
        <w:rPr>
          <w:rFonts w:eastAsia="MS ??" w:cs="Calibri"/>
          <w:sz w:val="20"/>
          <w:szCs w:val="20"/>
          <w:lang w:val="en-US"/>
        </w:rPr>
        <w:t>A safeguarding incident which raises concern about possible radicalisation of any member of staff / volunteer / adult / child / vulnerable adult.</w:t>
      </w:r>
    </w:p>
    <w:p w:rsidR="0015719D" w:rsidRPr="0015719D" w:rsidRDefault="0015719D" w:rsidP="00D048A1">
      <w:pPr>
        <w:numPr>
          <w:ilvl w:val="0"/>
          <w:numId w:val="2"/>
        </w:numPr>
        <w:spacing w:before="40" w:after="40" w:line="300" w:lineRule="atLeast"/>
        <w:ind w:left="851"/>
        <w:jc w:val="both"/>
        <w:rPr>
          <w:b/>
          <w:sz w:val="22"/>
          <w:szCs w:val="22"/>
          <w:u w:val="single"/>
        </w:rPr>
      </w:pPr>
      <w:r w:rsidRPr="0015719D">
        <w:rPr>
          <w:rFonts w:eastAsia="MS ??" w:cs="Calibri"/>
          <w:sz w:val="20"/>
          <w:szCs w:val="20"/>
          <w:lang w:val="en-US"/>
        </w:rPr>
        <w:t xml:space="preserve">Where a registered provider (residential or early years) is required to </w:t>
      </w:r>
      <w:r w:rsidRPr="0015719D">
        <w:rPr>
          <w:rFonts w:eastAsia="MS ??" w:cs="Calibri"/>
          <w:sz w:val="20"/>
          <w:szCs w:val="20"/>
        </w:rPr>
        <w:t>close by an external body following safeguarding concerns.</w:t>
      </w:r>
    </w:p>
    <w:p w:rsidR="0015719D" w:rsidRDefault="0015719D" w:rsidP="00D048A1">
      <w:pPr>
        <w:rPr>
          <w:b/>
          <w:sz w:val="22"/>
          <w:szCs w:val="22"/>
          <w:u w:val="single"/>
        </w:rPr>
      </w:pPr>
    </w:p>
    <w:p w:rsidR="00A419F2" w:rsidRDefault="00A419F2" w:rsidP="00D048A1">
      <w:pPr>
        <w:rPr>
          <w:b/>
          <w:sz w:val="22"/>
          <w:szCs w:val="22"/>
          <w:u w:val="single"/>
        </w:rPr>
      </w:pPr>
    </w:p>
    <w:p w:rsidR="008F7D6E" w:rsidRPr="00134831" w:rsidRDefault="008F7D6E" w:rsidP="00D048A1">
      <w:pPr>
        <w:rPr>
          <w:b/>
          <w:sz w:val="22"/>
          <w:szCs w:val="22"/>
          <w:u w:val="single"/>
        </w:rPr>
      </w:pPr>
      <w:r w:rsidRPr="00134831">
        <w:rPr>
          <w:b/>
          <w:sz w:val="22"/>
          <w:szCs w:val="22"/>
          <w:u w:val="single"/>
        </w:rPr>
        <w:lastRenderedPageBreak/>
        <w:t>Service Specific Notifications</w:t>
      </w:r>
    </w:p>
    <w:p w:rsidR="008F7D6E" w:rsidRPr="00134831" w:rsidRDefault="008F7D6E" w:rsidP="00D048A1">
      <w:pPr>
        <w:rPr>
          <w:b/>
          <w:sz w:val="22"/>
          <w:szCs w:val="22"/>
        </w:rPr>
      </w:pPr>
      <w:r w:rsidRPr="00134831">
        <w:rPr>
          <w:b/>
          <w:sz w:val="22"/>
          <w:szCs w:val="22"/>
        </w:rPr>
        <w:t xml:space="preserve">  </w:t>
      </w:r>
    </w:p>
    <w:p w:rsidR="008F7D6E" w:rsidRDefault="008F7D6E" w:rsidP="00D048A1">
      <w:pPr>
        <w:rPr>
          <w:b/>
          <w:sz w:val="22"/>
          <w:szCs w:val="22"/>
        </w:rPr>
      </w:pPr>
      <w:r w:rsidRPr="00134831">
        <w:rPr>
          <w:b/>
          <w:sz w:val="22"/>
          <w:szCs w:val="22"/>
        </w:rPr>
        <w:t xml:space="preserve">This section may be completed </w:t>
      </w:r>
      <w:r w:rsidR="00F47499">
        <w:rPr>
          <w:b/>
          <w:sz w:val="22"/>
          <w:szCs w:val="22"/>
        </w:rPr>
        <w:t xml:space="preserve">by the service </w:t>
      </w:r>
      <w:r w:rsidRPr="00134831">
        <w:rPr>
          <w:b/>
          <w:sz w:val="22"/>
          <w:szCs w:val="22"/>
        </w:rPr>
        <w:t xml:space="preserve">to include events that </w:t>
      </w:r>
      <w:r w:rsidR="00F47499">
        <w:rPr>
          <w:b/>
          <w:sz w:val="22"/>
          <w:szCs w:val="22"/>
        </w:rPr>
        <w:t xml:space="preserve">they </w:t>
      </w:r>
      <w:r w:rsidR="00134831">
        <w:rPr>
          <w:b/>
          <w:sz w:val="22"/>
          <w:szCs w:val="22"/>
        </w:rPr>
        <w:t xml:space="preserve">have a regulatory, statutory or </w:t>
      </w:r>
      <w:r w:rsidR="000B1FC7">
        <w:rPr>
          <w:b/>
          <w:sz w:val="22"/>
          <w:szCs w:val="22"/>
        </w:rPr>
        <w:t>contractual requirement</w:t>
      </w:r>
      <w:r w:rsidR="00134831">
        <w:rPr>
          <w:b/>
          <w:sz w:val="22"/>
          <w:szCs w:val="22"/>
        </w:rPr>
        <w:t xml:space="preserve"> to report.</w:t>
      </w:r>
    </w:p>
    <w:tbl>
      <w:tblPr>
        <w:tblStyle w:val="TableGrid"/>
        <w:tblW w:w="0" w:type="auto"/>
        <w:tblLook w:val="04A0" w:firstRow="1" w:lastRow="0" w:firstColumn="1" w:lastColumn="0" w:noHBand="0" w:noVBand="1"/>
      </w:tblPr>
      <w:tblGrid>
        <w:gridCol w:w="2635"/>
        <w:gridCol w:w="2635"/>
        <w:gridCol w:w="2635"/>
        <w:gridCol w:w="2635"/>
        <w:gridCol w:w="2636"/>
      </w:tblGrid>
      <w:tr w:rsidR="008F7D6E" w:rsidRPr="00134831" w:rsidTr="00985720">
        <w:tc>
          <w:tcPr>
            <w:tcW w:w="2635" w:type="dxa"/>
            <w:shd w:val="clear" w:color="auto" w:fill="C2D69B" w:themeFill="accent3" w:themeFillTint="99"/>
          </w:tcPr>
          <w:p w:rsidR="008F7D6E" w:rsidRPr="00134831" w:rsidRDefault="008F7D6E" w:rsidP="008F7D6E">
            <w:pPr>
              <w:rPr>
                <w:b/>
                <w:sz w:val="22"/>
                <w:szCs w:val="22"/>
              </w:rPr>
            </w:pPr>
            <w:r w:rsidRPr="00134831">
              <w:rPr>
                <w:b/>
                <w:sz w:val="22"/>
                <w:szCs w:val="22"/>
              </w:rPr>
              <w:t>Notifiable Event</w:t>
            </w:r>
          </w:p>
        </w:tc>
        <w:tc>
          <w:tcPr>
            <w:tcW w:w="2635" w:type="dxa"/>
            <w:shd w:val="clear" w:color="auto" w:fill="C2D69B" w:themeFill="accent3" w:themeFillTint="99"/>
          </w:tcPr>
          <w:p w:rsidR="008F7D6E" w:rsidRPr="00134831" w:rsidRDefault="008F7D6E" w:rsidP="008F7D6E">
            <w:pPr>
              <w:rPr>
                <w:b/>
                <w:sz w:val="22"/>
                <w:szCs w:val="22"/>
              </w:rPr>
            </w:pPr>
            <w:r w:rsidRPr="00134831">
              <w:rPr>
                <w:b/>
                <w:sz w:val="22"/>
                <w:szCs w:val="22"/>
              </w:rPr>
              <w:t>Who should be informed</w:t>
            </w:r>
          </w:p>
        </w:tc>
        <w:tc>
          <w:tcPr>
            <w:tcW w:w="2635" w:type="dxa"/>
            <w:shd w:val="clear" w:color="auto" w:fill="C2D69B" w:themeFill="accent3" w:themeFillTint="99"/>
          </w:tcPr>
          <w:p w:rsidR="008F7D6E" w:rsidRPr="00134831" w:rsidRDefault="008F7D6E" w:rsidP="008F7D6E">
            <w:pPr>
              <w:rPr>
                <w:b/>
                <w:sz w:val="22"/>
                <w:szCs w:val="22"/>
              </w:rPr>
            </w:pPr>
            <w:r w:rsidRPr="00134831">
              <w:rPr>
                <w:b/>
                <w:sz w:val="22"/>
                <w:szCs w:val="22"/>
              </w:rPr>
              <w:t>Form/s to be completed</w:t>
            </w:r>
          </w:p>
        </w:tc>
        <w:tc>
          <w:tcPr>
            <w:tcW w:w="2635" w:type="dxa"/>
            <w:shd w:val="clear" w:color="auto" w:fill="C2D69B" w:themeFill="accent3" w:themeFillTint="99"/>
          </w:tcPr>
          <w:p w:rsidR="008F7D6E" w:rsidRPr="00134831" w:rsidRDefault="008F7D6E" w:rsidP="008F7D6E">
            <w:pPr>
              <w:rPr>
                <w:b/>
                <w:sz w:val="22"/>
                <w:szCs w:val="22"/>
              </w:rPr>
            </w:pPr>
            <w:r w:rsidRPr="00134831">
              <w:rPr>
                <w:b/>
                <w:sz w:val="22"/>
                <w:szCs w:val="22"/>
              </w:rPr>
              <w:t>Policy or Guidance</w:t>
            </w:r>
          </w:p>
        </w:tc>
        <w:tc>
          <w:tcPr>
            <w:tcW w:w="2636" w:type="dxa"/>
            <w:shd w:val="clear" w:color="auto" w:fill="C2D69B" w:themeFill="accent3" w:themeFillTint="99"/>
          </w:tcPr>
          <w:p w:rsidR="008F7D6E" w:rsidRPr="00134831" w:rsidRDefault="008F7D6E" w:rsidP="008F7D6E">
            <w:pPr>
              <w:rPr>
                <w:b/>
                <w:sz w:val="22"/>
                <w:szCs w:val="22"/>
              </w:rPr>
            </w:pPr>
            <w:r w:rsidRPr="00134831">
              <w:rPr>
                <w:b/>
                <w:sz w:val="22"/>
                <w:szCs w:val="22"/>
              </w:rPr>
              <w:t>Additional Notes</w:t>
            </w:r>
          </w:p>
        </w:tc>
      </w:tr>
      <w:tr w:rsidR="008F7D6E" w:rsidRPr="00134831" w:rsidTr="008F7D6E">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6" w:type="dxa"/>
            <w:shd w:val="clear" w:color="auto" w:fill="FFFFFF" w:themeFill="background1"/>
          </w:tcPr>
          <w:p w:rsidR="008F7D6E" w:rsidRPr="00134831" w:rsidRDefault="008F7D6E" w:rsidP="008F7D6E">
            <w:pPr>
              <w:rPr>
                <w:b/>
                <w:sz w:val="22"/>
                <w:szCs w:val="22"/>
              </w:rPr>
            </w:pPr>
          </w:p>
        </w:tc>
      </w:tr>
      <w:tr w:rsidR="008F7D6E" w:rsidRPr="00134831" w:rsidTr="008F7D6E">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6" w:type="dxa"/>
            <w:shd w:val="clear" w:color="auto" w:fill="FFFFFF" w:themeFill="background1"/>
          </w:tcPr>
          <w:p w:rsidR="008F7D6E" w:rsidRPr="00134831" w:rsidRDefault="008F7D6E" w:rsidP="008F7D6E">
            <w:pPr>
              <w:rPr>
                <w:b/>
                <w:sz w:val="22"/>
                <w:szCs w:val="22"/>
              </w:rPr>
            </w:pPr>
          </w:p>
        </w:tc>
      </w:tr>
      <w:tr w:rsidR="008F7D6E" w:rsidRPr="00134831" w:rsidTr="008F7D6E">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6" w:type="dxa"/>
            <w:shd w:val="clear" w:color="auto" w:fill="FFFFFF" w:themeFill="background1"/>
          </w:tcPr>
          <w:p w:rsidR="008F7D6E" w:rsidRPr="00134831" w:rsidRDefault="008F7D6E" w:rsidP="008F7D6E">
            <w:pPr>
              <w:rPr>
                <w:b/>
                <w:sz w:val="22"/>
                <w:szCs w:val="22"/>
              </w:rPr>
            </w:pPr>
          </w:p>
        </w:tc>
      </w:tr>
      <w:tr w:rsidR="008F7D6E" w:rsidRPr="00134831" w:rsidTr="008F7D6E">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5" w:type="dxa"/>
            <w:shd w:val="clear" w:color="auto" w:fill="FFFFFF" w:themeFill="background1"/>
          </w:tcPr>
          <w:p w:rsidR="008F7D6E" w:rsidRPr="00134831" w:rsidRDefault="008F7D6E" w:rsidP="008F7D6E">
            <w:pPr>
              <w:rPr>
                <w:b/>
                <w:sz w:val="22"/>
                <w:szCs w:val="22"/>
              </w:rPr>
            </w:pPr>
          </w:p>
        </w:tc>
        <w:tc>
          <w:tcPr>
            <w:tcW w:w="2636" w:type="dxa"/>
            <w:shd w:val="clear" w:color="auto" w:fill="FFFFFF" w:themeFill="background1"/>
          </w:tcPr>
          <w:p w:rsidR="008F7D6E" w:rsidRPr="00134831" w:rsidRDefault="008F7D6E" w:rsidP="008F7D6E">
            <w:pPr>
              <w:rPr>
                <w:b/>
                <w:sz w:val="22"/>
                <w:szCs w:val="22"/>
              </w:rPr>
            </w:pPr>
          </w:p>
        </w:tc>
      </w:tr>
    </w:tbl>
    <w:p w:rsidR="00134831" w:rsidRDefault="00134831" w:rsidP="00D50BB1">
      <w:pPr>
        <w:contextualSpacing/>
        <w:jc w:val="right"/>
        <w:rPr>
          <w:rFonts w:eastAsia="MS ??" w:cs="Calibri"/>
          <w:b/>
          <w:sz w:val="22"/>
          <w:szCs w:val="22"/>
        </w:rPr>
      </w:pPr>
    </w:p>
    <w:sectPr w:rsidR="00134831" w:rsidSect="00D048A1">
      <w:footerReference w:type="default" r:id="rId35"/>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55" w:rsidRDefault="00640855" w:rsidP="00D048A1">
      <w:r>
        <w:separator/>
      </w:r>
    </w:p>
  </w:endnote>
  <w:endnote w:type="continuationSeparator" w:id="0">
    <w:p w:rsidR="00640855" w:rsidRDefault="00640855" w:rsidP="00D0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F2" w:rsidRDefault="00A419F2">
    <w:pPr>
      <w:pStyle w:val="Footer"/>
    </w:pPr>
    <w:r>
      <w:t>11/12/2017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55" w:rsidRDefault="00640855" w:rsidP="00D048A1">
      <w:r>
        <w:separator/>
      </w:r>
    </w:p>
  </w:footnote>
  <w:footnote w:type="continuationSeparator" w:id="0">
    <w:p w:rsidR="00640855" w:rsidRDefault="00640855" w:rsidP="00D048A1">
      <w:r>
        <w:continuationSeparator/>
      </w:r>
    </w:p>
  </w:footnote>
  <w:footnote w:id="1">
    <w:p w:rsidR="00134831" w:rsidRPr="0071012C" w:rsidRDefault="00134831" w:rsidP="00134831">
      <w:pPr>
        <w:pStyle w:val="FootnoteText"/>
        <w:rPr>
          <w:rFonts w:asciiTheme="majorHAnsi" w:hAnsiTheme="majorHAnsi"/>
          <w:i/>
          <w:lang w:val="en-US"/>
        </w:rPr>
      </w:pPr>
      <w:r>
        <w:rPr>
          <w:rStyle w:val="FootnoteReference"/>
        </w:rPr>
        <w:footnoteRef/>
      </w:r>
      <w:r>
        <w:t xml:space="preserve"> </w:t>
      </w:r>
      <w:r w:rsidRPr="0071012C">
        <w:rPr>
          <w:rFonts w:asciiTheme="majorHAnsi" w:hAnsiTheme="majorHAnsi"/>
          <w:i/>
        </w:rPr>
        <w:t>RIDDOR:</w:t>
      </w:r>
      <w:r w:rsidRPr="0071012C">
        <w:rPr>
          <w:rFonts w:asciiTheme="majorHAnsi" w:hAnsiTheme="majorHAnsi"/>
        </w:rPr>
        <w:t xml:space="preserve"> </w:t>
      </w:r>
      <w:r w:rsidRPr="0071012C">
        <w:rPr>
          <w:rFonts w:asciiTheme="majorHAnsi" w:hAnsiTheme="majorHAnsi" w:cs="Arial"/>
          <w:i/>
          <w:color w:val="1A1A1A"/>
          <w:lang w:val="en-US" w:eastAsia="en-US"/>
        </w:rPr>
        <w:t xml:space="preserve">Reporting of Injuries, Diseases and Dangerous Occurrences Regulations 2013. </w:t>
      </w:r>
    </w:p>
  </w:footnote>
  <w:footnote w:id="2">
    <w:p w:rsidR="00134831" w:rsidRPr="0071012C" w:rsidRDefault="00134831" w:rsidP="00134831">
      <w:pPr>
        <w:pStyle w:val="FootnoteText"/>
        <w:rPr>
          <w:rFonts w:asciiTheme="majorHAnsi" w:hAnsiTheme="majorHAnsi"/>
          <w:i/>
          <w:lang w:val="en-US"/>
        </w:rPr>
      </w:pPr>
      <w:r w:rsidRPr="0071012C">
        <w:rPr>
          <w:rStyle w:val="FootnoteReference"/>
          <w:rFonts w:asciiTheme="majorHAnsi" w:hAnsiTheme="majorHAnsi"/>
        </w:rPr>
        <w:footnoteRef/>
      </w:r>
      <w:r w:rsidRPr="0071012C">
        <w:rPr>
          <w:rFonts w:asciiTheme="majorHAnsi" w:hAnsiTheme="majorHAnsi"/>
        </w:rPr>
        <w:t xml:space="preserve"> </w:t>
      </w:r>
      <w:r w:rsidRPr="0071012C">
        <w:rPr>
          <w:rFonts w:asciiTheme="majorHAnsi" w:hAnsiTheme="majorHAnsi"/>
          <w:i/>
          <w:lang w:val="en-US"/>
        </w:rPr>
        <w:t>Workplace is deemed any place where work activities are  being undertaken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622C"/>
    <w:multiLevelType w:val="hybridMultilevel"/>
    <w:tmpl w:val="FC363FE2"/>
    <w:lvl w:ilvl="0" w:tplc="1FBCB772">
      <w:start w:val="1"/>
      <w:numFmt w:val="decimal"/>
      <w:lvlText w:val="%1."/>
      <w:lvlJc w:val="left"/>
      <w:pPr>
        <w:ind w:left="928" w:hanging="360"/>
      </w:pPr>
      <w:rPr>
        <w:rFonts w:asciiTheme="majorHAnsi" w:hAnsiTheme="majorHAnsi"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5E1655B"/>
    <w:multiLevelType w:val="hybridMultilevel"/>
    <w:tmpl w:val="D47065A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26856957"/>
    <w:multiLevelType w:val="hybridMultilevel"/>
    <w:tmpl w:val="FB8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17657"/>
    <w:multiLevelType w:val="hybridMultilevel"/>
    <w:tmpl w:val="93FCCC2A"/>
    <w:lvl w:ilvl="0" w:tplc="04090001">
      <w:start w:val="1"/>
      <w:numFmt w:val="bullet"/>
      <w:lvlText w:val=""/>
      <w:lvlJc w:val="left"/>
      <w:pPr>
        <w:ind w:left="1288" w:hanging="360"/>
      </w:pPr>
      <w:rPr>
        <w:rFonts w:ascii="Symbol" w:hAnsi="Symbol" w:hint="default"/>
        <w:sz w:val="24"/>
        <w:szCs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4AE862E5"/>
    <w:multiLevelType w:val="hybridMultilevel"/>
    <w:tmpl w:val="777EB8D0"/>
    <w:lvl w:ilvl="0" w:tplc="A2227CE6">
      <w:start w:val="1"/>
      <w:numFmt w:val="bullet"/>
      <w:lvlText w:val="•"/>
      <w:lvlJc w:val="left"/>
      <w:pPr>
        <w:tabs>
          <w:tab w:val="num" w:pos="720"/>
        </w:tabs>
        <w:ind w:left="720" w:hanging="360"/>
      </w:pPr>
      <w:rPr>
        <w:rFonts w:ascii="Arial" w:hAnsi="Arial" w:hint="default"/>
      </w:rPr>
    </w:lvl>
    <w:lvl w:ilvl="1" w:tplc="29305B8A" w:tentative="1">
      <w:start w:val="1"/>
      <w:numFmt w:val="bullet"/>
      <w:lvlText w:val="•"/>
      <w:lvlJc w:val="left"/>
      <w:pPr>
        <w:tabs>
          <w:tab w:val="num" w:pos="1440"/>
        </w:tabs>
        <w:ind w:left="1440" w:hanging="360"/>
      </w:pPr>
      <w:rPr>
        <w:rFonts w:ascii="Arial" w:hAnsi="Arial" w:hint="default"/>
      </w:rPr>
    </w:lvl>
    <w:lvl w:ilvl="2" w:tplc="1700DF84" w:tentative="1">
      <w:start w:val="1"/>
      <w:numFmt w:val="bullet"/>
      <w:lvlText w:val="•"/>
      <w:lvlJc w:val="left"/>
      <w:pPr>
        <w:tabs>
          <w:tab w:val="num" w:pos="2160"/>
        </w:tabs>
        <w:ind w:left="2160" w:hanging="360"/>
      </w:pPr>
      <w:rPr>
        <w:rFonts w:ascii="Arial" w:hAnsi="Arial" w:hint="default"/>
      </w:rPr>
    </w:lvl>
    <w:lvl w:ilvl="3" w:tplc="7388B2B6" w:tentative="1">
      <w:start w:val="1"/>
      <w:numFmt w:val="bullet"/>
      <w:lvlText w:val="•"/>
      <w:lvlJc w:val="left"/>
      <w:pPr>
        <w:tabs>
          <w:tab w:val="num" w:pos="2880"/>
        </w:tabs>
        <w:ind w:left="2880" w:hanging="360"/>
      </w:pPr>
      <w:rPr>
        <w:rFonts w:ascii="Arial" w:hAnsi="Arial" w:hint="default"/>
      </w:rPr>
    </w:lvl>
    <w:lvl w:ilvl="4" w:tplc="5CA6D79E" w:tentative="1">
      <w:start w:val="1"/>
      <w:numFmt w:val="bullet"/>
      <w:lvlText w:val="•"/>
      <w:lvlJc w:val="left"/>
      <w:pPr>
        <w:tabs>
          <w:tab w:val="num" w:pos="3600"/>
        </w:tabs>
        <w:ind w:left="3600" w:hanging="360"/>
      </w:pPr>
      <w:rPr>
        <w:rFonts w:ascii="Arial" w:hAnsi="Arial" w:hint="default"/>
      </w:rPr>
    </w:lvl>
    <w:lvl w:ilvl="5" w:tplc="89785ADC" w:tentative="1">
      <w:start w:val="1"/>
      <w:numFmt w:val="bullet"/>
      <w:lvlText w:val="•"/>
      <w:lvlJc w:val="left"/>
      <w:pPr>
        <w:tabs>
          <w:tab w:val="num" w:pos="4320"/>
        </w:tabs>
        <w:ind w:left="4320" w:hanging="360"/>
      </w:pPr>
      <w:rPr>
        <w:rFonts w:ascii="Arial" w:hAnsi="Arial" w:hint="default"/>
      </w:rPr>
    </w:lvl>
    <w:lvl w:ilvl="6" w:tplc="3E6045AC" w:tentative="1">
      <w:start w:val="1"/>
      <w:numFmt w:val="bullet"/>
      <w:lvlText w:val="•"/>
      <w:lvlJc w:val="left"/>
      <w:pPr>
        <w:tabs>
          <w:tab w:val="num" w:pos="5040"/>
        </w:tabs>
        <w:ind w:left="5040" w:hanging="360"/>
      </w:pPr>
      <w:rPr>
        <w:rFonts w:ascii="Arial" w:hAnsi="Arial" w:hint="default"/>
      </w:rPr>
    </w:lvl>
    <w:lvl w:ilvl="7" w:tplc="35A09FD0" w:tentative="1">
      <w:start w:val="1"/>
      <w:numFmt w:val="bullet"/>
      <w:lvlText w:val="•"/>
      <w:lvlJc w:val="left"/>
      <w:pPr>
        <w:tabs>
          <w:tab w:val="num" w:pos="5760"/>
        </w:tabs>
        <w:ind w:left="5760" w:hanging="360"/>
      </w:pPr>
      <w:rPr>
        <w:rFonts w:ascii="Arial" w:hAnsi="Arial" w:hint="default"/>
      </w:rPr>
    </w:lvl>
    <w:lvl w:ilvl="8" w:tplc="81C851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1"/>
    <w:rsid w:val="00015CBF"/>
    <w:rsid w:val="000B1FC7"/>
    <w:rsid w:val="000B4590"/>
    <w:rsid w:val="00134831"/>
    <w:rsid w:val="0015719D"/>
    <w:rsid w:val="001C4152"/>
    <w:rsid w:val="001D5D6F"/>
    <w:rsid w:val="002323F4"/>
    <w:rsid w:val="00322979"/>
    <w:rsid w:val="00591293"/>
    <w:rsid w:val="00640855"/>
    <w:rsid w:val="008839D8"/>
    <w:rsid w:val="008F391D"/>
    <w:rsid w:val="008F7D6E"/>
    <w:rsid w:val="00951351"/>
    <w:rsid w:val="00995B02"/>
    <w:rsid w:val="00A419F2"/>
    <w:rsid w:val="00A546AE"/>
    <w:rsid w:val="00B70CE9"/>
    <w:rsid w:val="00CB1B73"/>
    <w:rsid w:val="00D029BC"/>
    <w:rsid w:val="00D048A1"/>
    <w:rsid w:val="00D50BB1"/>
    <w:rsid w:val="00DC6AB8"/>
    <w:rsid w:val="00E312A5"/>
    <w:rsid w:val="00F47499"/>
    <w:rsid w:val="00F71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831"/>
    <w:pPr>
      <w:ind w:left="720"/>
      <w:contextualSpacing/>
    </w:pPr>
  </w:style>
  <w:style w:type="character" w:styleId="Hyperlink">
    <w:name w:val="Hyperlink"/>
    <w:basedOn w:val="DefaultParagraphFont"/>
    <w:rsid w:val="00134831"/>
    <w:rPr>
      <w:color w:val="0000FF" w:themeColor="hyperlink"/>
      <w:u w:val="single"/>
    </w:rPr>
  </w:style>
  <w:style w:type="paragraph" w:styleId="FootnoteText">
    <w:name w:val="footnote text"/>
    <w:basedOn w:val="Normal"/>
    <w:link w:val="FootnoteTextChar"/>
    <w:rsid w:val="00134831"/>
    <w:rPr>
      <w:sz w:val="20"/>
      <w:szCs w:val="20"/>
    </w:rPr>
  </w:style>
  <w:style w:type="character" w:customStyle="1" w:styleId="FootnoteTextChar">
    <w:name w:val="Footnote Text Char"/>
    <w:basedOn w:val="DefaultParagraphFont"/>
    <w:link w:val="FootnoteText"/>
    <w:rsid w:val="00134831"/>
    <w:rPr>
      <w:sz w:val="20"/>
      <w:szCs w:val="20"/>
    </w:rPr>
  </w:style>
  <w:style w:type="character" w:styleId="FootnoteReference">
    <w:name w:val="footnote reference"/>
    <w:basedOn w:val="DefaultParagraphFont"/>
    <w:qFormat/>
    <w:rsid w:val="00134831"/>
    <w:rPr>
      <w:rFonts w:asciiTheme="minorHAnsi" w:hAnsiTheme="minorHAnsi" w:cs="Times New Roman"/>
      <w:i/>
      <w:sz w:val="20"/>
      <w:vertAlign w:val="superscript"/>
    </w:rPr>
  </w:style>
  <w:style w:type="character" w:styleId="FollowedHyperlink">
    <w:name w:val="FollowedHyperlink"/>
    <w:basedOn w:val="DefaultParagraphFont"/>
    <w:rsid w:val="00E312A5"/>
    <w:rPr>
      <w:color w:val="800080" w:themeColor="followedHyperlink"/>
      <w:u w:val="single"/>
    </w:rPr>
  </w:style>
  <w:style w:type="paragraph" w:styleId="Header">
    <w:name w:val="header"/>
    <w:basedOn w:val="Normal"/>
    <w:link w:val="HeaderChar"/>
    <w:rsid w:val="00A419F2"/>
    <w:pPr>
      <w:tabs>
        <w:tab w:val="center" w:pos="4513"/>
        <w:tab w:val="right" w:pos="9026"/>
      </w:tabs>
    </w:pPr>
  </w:style>
  <w:style w:type="character" w:customStyle="1" w:styleId="HeaderChar">
    <w:name w:val="Header Char"/>
    <w:basedOn w:val="DefaultParagraphFont"/>
    <w:link w:val="Header"/>
    <w:rsid w:val="00A419F2"/>
  </w:style>
  <w:style w:type="paragraph" w:styleId="Footer">
    <w:name w:val="footer"/>
    <w:basedOn w:val="Normal"/>
    <w:link w:val="FooterChar"/>
    <w:rsid w:val="00A419F2"/>
    <w:pPr>
      <w:tabs>
        <w:tab w:val="center" w:pos="4513"/>
        <w:tab w:val="right" w:pos="9026"/>
      </w:tabs>
    </w:pPr>
  </w:style>
  <w:style w:type="character" w:customStyle="1" w:styleId="FooterChar">
    <w:name w:val="Footer Char"/>
    <w:basedOn w:val="DefaultParagraphFont"/>
    <w:link w:val="Footer"/>
    <w:rsid w:val="00A4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831"/>
    <w:pPr>
      <w:ind w:left="720"/>
      <w:contextualSpacing/>
    </w:pPr>
  </w:style>
  <w:style w:type="character" w:styleId="Hyperlink">
    <w:name w:val="Hyperlink"/>
    <w:basedOn w:val="DefaultParagraphFont"/>
    <w:rsid w:val="00134831"/>
    <w:rPr>
      <w:color w:val="0000FF" w:themeColor="hyperlink"/>
      <w:u w:val="single"/>
    </w:rPr>
  </w:style>
  <w:style w:type="paragraph" w:styleId="FootnoteText">
    <w:name w:val="footnote text"/>
    <w:basedOn w:val="Normal"/>
    <w:link w:val="FootnoteTextChar"/>
    <w:rsid w:val="00134831"/>
    <w:rPr>
      <w:sz w:val="20"/>
      <w:szCs w:val="20"/>
    </w:rPr>
  </w:style>
  <w:style w:type="character" w:customStyle="1" w:styleId="FootnoteTextChar">
    <w:name w:val="Footnote Text Char"/>
    <w:basedOn w:val="DefaultParagraphFont"/>
    <w:link w:val="FootnoteText"/>
    <w:rsid w:val="00134831"/>
    <w:rPr>
      <w:sz w:val="20"/>
      <w:szCs w:val="20"/>
    </w:rPr>
  </w:style>
  <w:style w:type="character" w:styleId="FootnoteReference">
    <w:name w:val="footnote reference"/>
    <w:basedOn w:val="DefaultParagraphFont"/>
    <w:qFormat/>
    <w:rsid w:val="00134831"/>
    <w:rPr>
      <w:rFonts w:asciiTheme="minorHAnsi" w:hAnsiTheme="minorHAnsi" w:cs="Times New Roman"/>
      <w:i/>
      <w:sz w:val="20"/>
      <w:vertAlign w:val="superscript"/>
    </w:rPr>
  </w:style>
  <w:style w:type="character" w:styleId="FollowedHyperlink">
    <w:name w:val="FollowedHyperlink"/>
    <w:basedOn w:val="DefaultParagraphFont"/>
    <w:rsid w:val="00E312A5"/>
    <w:rPr>
      <w:color w:val="800080" w:themeColor="followedHyperlink"/>
      <w:u w:val="single"/>
    </w:rPr>
  </w:style>
  <w:style w:type="paragraph" w:styleId="Header">
    <w:name w:val="header"/>
    <w:basedOn w:val="Normal"/>
    <w:link w:val="HeaderChar"/>
    <w:rsid w:val="00A419F2"/>
    <w:pPr>
      <w:tabs>
        <w:tab w:val="center" w:pos="4513"/>
        <w:tab w:val="right" w:pos="9026"/>
      </w:tabs>
    </w:pPr>
  </w:style>
  <w:style w:type="character" w:customStyle="1" w:styleId="HeaderChar">
    <w:name w:val="Header Char"/>
    <w:basedOn w:val="DefaultParagraphFont"/>
    <w:link w:val="Header"/>
    <w:rsid w:val="00A419F2"/>
  </w:style>
  <w:style w:type="paragraph" w:styleId="Footer">
    <w:name w:val="footer"/>
    <w:basedOn w:val="Normal"/>
    <w:link w:val="FooterChar"/>
    <w:rsid w:val="00A419F2"/>
    <w:pPr>
      <w:tabs>
        <w:tab w:val="center" w:pos="4513"/>
        <w:tab w:val="right" w:pos="9026"/>
      </w:tabs>
    </w:pPr>
  </w:style>
  <w:style w:type="character" w:customStyle="1" w:styleId="FooterChar">
    <w:name w:val="Footer Char"/>
    <w:basedOn w:val="DefaultParagraphFont"/>
    <w:link w:val="Footer"/>
    <w:rsid w:val="00A4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velink.barnardos.org.uk/livelink91/livelink.exe?func=doc.ViewDoc&amp;nodeid=258137212" TargetMode="External"/><Relationship Id="rId18" Type="http://schemas.openxmlformats.org/officeDocument/2006/relationships/hyperlink" Target="mailto:Safeguarding@barnardos.org.uk" TargetMode="External"/><Relationship Id="rId26" Type="http://schemas.openxmlformats.org/officeDocument/2006/relationships/hyperlink" Target="http://b-hive.barnardos.org.uk/Interact/Pages/Content/Document.aspx?id=1999" TargetMode="External"/><Relationship Id="rId3" Type="http://schemas.openxmlformats.org/officeDocument/2006/relationships/styles" Target="styles.xml"/><Relationship Id="rId21" Type="http://schemas.openxmlformats.org/officeDocument/2006/relationships/hyperlink" Target="http://livelink.barnardos.org.uk/livelink91/livelink.exe?func=ll&amp;objId=194952922&amp;objAction=browse&amp;viewType=1" TargetMode="External"/><Relationship Id="rId34" Type="http://schemas.openxmlformats.org/officeDocument/2006/relationships/hyperlink" Target="http://livelink.barnardos.org.uk/otcs/llisapi.dll/properties/274708481" TargetMode="External"/><Relationship Id="rId7" Type="http://schemas.openxmlformats.org/officeDocument/2006/relationships/footnotes" Target="footnotes.xml"/><Relationship Id="rId12" Type="http://schemas.openxmlformats.org/officeDocument/2006/relationships/hyperlink" Target="http://livelink.barnardos.org.uk/livelink91/livelink.exe?func=ll&amp;objId=194952922&amp;objAction=browse&amp;viewType=1" TargetMode="External"/><Relationship Id="rId17" Type="http://schemas.openxmlformats.org/officeDocument/2006/relationships/hyperlink" Target="http://livelink.barnardos.org.uk/livelink91/livelink.exe?func=doc.ViewDoc&amp;nodeid=258137212" TargetMode="External"/><Relationship Id="rId25" Type="http://schemas.openxmlformats.org/officeDocument/2006/relationships/hyperlink" Target="http://b-hive.barnardos.org.uk/Interact/Pages/Content/Document.aspx?id=1999" TargetMode="External"/><Relationship Id="rId33" Type="http://schemas.openxmlformats.org/officeDocument/2006/relationships/hyperlink" Target="http://livelink.barnardos.org.uk/otcs/llisapi.dll/properties/274708481" TargetMode="External"/><Relationship Id="rId2" Type="http://schemas.openxmlformats.org/officeDocument/2006/relationships/numbering" Target="numbering.xml"/><Relationship Id="rId16" Type="http://schemas.openxmlformats.org/officeDocument/2006/relationships/hyperlink" Target="http://livelink.barnardos.org.uk/livelink91/livelink.exe?func=ll&amp;objId=204329825&amp;objAction=viewheader" TargetMode="External"/><Relationship Id="rId20" Type="http://schemas.openxmlformats.org/officeDocument/2006/relationships/hyperlink" Target="mailto:safetyteam@barnardos.org.uk" TargetMode="External"/><Relationship Id="rId29" Type="http://schemas.openxmlformats.org/officeDocument/2006/relationships/hyperlink" Target="http://b-hive.barnardos.org.uk/Interact/Pages/Content/Document.aspx?id=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velink.barnardos.org.uk/livelink91/livelink.exe?func=doc.ViewDoc&amp;nodeid=258137212" TargetMode="External"/><Relationship Id="rId24" Type="http://schemas.openxmlformats.org/officeDocument/2006/relationships/hyperlink" Target="http://livelink.barnardos.org.uk/livelink91/livelink.exe?func=doc.ViewDoc&amp;nodeid=258137212" TargetMode="External"/><Relationship Id="rId32" Type="http://schemas.openxmlformats.org/officeDocument/2006/relationships/hyperlink" Target="http://livelink.barnardos.org.uk/otcs/llisapi.dll/properties/24085983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feguarding@barnardos.org.uk" TargetMode="External"/><Relationship Id="rId23" Type="http://schemas.openxmlformats.org/officeDocument/2006/relationships/hyperlink" Target="http://b-hive.barnardos.org.uk/Interact/Pages/Content/Document.aspx?id=1999" TargetMode="External"/><Relationship Id="rId28" Type="http://schemas.openxmlformats.org/officeDocument/2006/relationships/hyperlink" Target="http://livelink.barnardos.org/livelink91/livelink.exe?func=ll&amp;objId=217437371&amp;objAction=viewheader" TargetMode="External"/><Relationship Id="rId36" Type="http://schemas.openxmlformats.org/officeDocument/2006/relationships/fontTable" Target="fontTable.xml"/><Relationship Id="rId10" Type="http://schemas.openxmlformats.org/officeDocument/2006/relationships/hyperlink" Target="http://livelink.barnardos.org.uk/livelink91/livelink.exe?func=ll&amp;objId=194952922&amp;objAction=browse&amp;viewType=1" TargetMode="External"/><Relationship Id="rId19" Type="http://schemas.openxmlformats.org/officeDocument/2006/relationships/hyperlink" Target="mailto:Safeguarding@barnardos.org.uk" TargetMode="External"/><Relationship Id="rId31" Type="http://schemas.openxmlformats.org/officeDocument/2006/relationships/hyperlink" Target="http://livelink.barnardos.org.uk/otcs/llisapi.dll?func=ll&amp;objId=275650386&amp;objAction=browse&amp;viewType=1" TargetMode="External"/><Relationship Id="rId4" Type="http://schemas.microsoft.com/office/2007/relationships/stylesWithEffects" Target="stylesWithEffects.xml"/><Relationship Id="rId9" Type="http://schemas.openxmlformats.org/officeDocument/2006/relationships/hyperlink" Target="mailto:Safeguarding@barnardos.org.uk" TargetMode="External"/><Relationship Id="rId14" Type="http://schemas.openxmlformats.org/officeDocument/2006/relationships/hyperlink" Target="http://b-hive.barnardos.org.uk/Interact/Pages/Content/Document.aspx?id=2630" TargetMode="External"/><Relationship Id="rId22" Type="http://schemas.openxmlformats.org/officeDocument/2006/relationships/hyperlink" Target="http://livelink.barnardos.org.uk/livelink91/livelink.exe?func=ll&amp;objId=204329825&amp;objAction=viewheader" TargetMode="External"/><Relationship Id="rId27" Type="http://schemas.openxmlformats.org/officeDocument/2006/relationships/hyperlink" Target="http://livelink.barnardos.org/livelink91/livelink.exe?func=ll&amp;objId=217437371&amp;objAction=viewheader" TargetMode="External"/><Relationship Id="rId30" Type="http://schemas.openxmlformats.org/officeDocument/2006/relationships/hyperlink" Target="http://livelink.barnardos.org.uk/otcs/llisapi.dll?func=ll&amp;objId=275648988&amp;objAction=browse&amp;viewType=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6C59-51FE-4BF4-868F-7CBC8A47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7987</Characters>
  <Application>Microsoft Office Word</Application>
  <DocSecurity>0</DocSecurity>
  <Lines>319</Lines>
  <Paragraphs>125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Greene</dc:creator>
  <cp:lastModifiedBy>Joanne Dyne</cp:lastModifiedBy>
  <cp:revision>2</cp:revision>
  <dcterms:created xsi:type="dcterms:W3CDTF">2018-07-11T08:43:00Z</dcterms:created>
  <dcterms:modified xsi:type="dcterms:W3CDTF">2018-07-11T08:43:00Z</dcterms:modified>
</cp:coreProperties>
</file>