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BA" w:rsidRPr="006657B1" w:rsidRDefault="006657B1" w:rsidP="006657B1">
      <w:pPr>
        <w:jc w:val="center"/>
        <w:rPr>
          <w:rFonts w:ascii="Verdana" w:hAnsi="Verdana"/>
          <w:b/>
        </w:rPr>
      </w:pPr>
      <w:bookmarkStart w:id="0" w:name="_GoBack"/>
      <w:bookmarkEnd w:id="0"/>
      <w:r w:rsidRPr="006657B1">
        <w:rPr>
          <w:rFonts w:ascii="Verdana" w:hAnsi="Verdana"/>
          <w:b/>
        </w:rPr>
        <w:t>Holding Safeguarding Induction Conversations</w:t>
      </w:r>
    </w:p>
    <w:p w:rsidR="002A5283" w:rsidRDefault="002A5283">
      <w:pPr>
        <w:rPr>
          <w:rFonts w:ascii="Verdana" w:eastAsiaTheme="minorHAnsi" w:hAnsi="Verdana"/>
          <w:sz w:val="22"/>
          <w:szCs w:val="22"/>
        </w:rPr>
      </w:pPr>
    </w:p>
    <w:p w:rsidR="000463B7" w:rsidRDefault="00A55993">
      <w:pPr>
        <w:rPr>
          <w:rFonts w:ascii="Verdana" w:eastAsiaTheme="minorHAnsi" w:hAnsi="Verdana"/>
          <w:sz w:val="22"/>
          <w:szCs w:val="22"/>
        </w:rPr>
      </w:pPr>
      <w:r w:rsidRPr="006657B1">
        <w:rPr>
          <w:rFonts w:ascii="Verdana" w:eastAsiaTheme="minorHAnsi" w:hAnsi="Verdana"/>
          <w:sz w:val="22"/>
          <w:szCs w:val="22"/>
        </w:rPr>
        <w:t>S</w:t>
      </w:r>
      <w:r w:rsidR="00945771" w:rsidRPr="006657B1">
        <w:rPr>
          <w:rFonts w:ascii="Verdana" w:eastAsiaTheme="minorHAnsi" w:hAnsi="Verdana"/>
          <w:sz w:val="22"/>
          <w:szCs w:val="22"/>
        </w:rPr>
        <w:t>afeguarding is everybody's business</w:t>
      </w:r>
      <w:r w:rsidR="000463B7">
        <w:rPr>
          <w:rFonts w:ascii="Verdana" w:eastAsiaTheme="minorHAnsi" w:hAnsi="Verdana"/>
          <w:sz w:val="22"/>
          <w:szCs w:val="22"/>
        </w:rPr>
        <w:t>.</w:t>
      </w:r>
      <w:r w:rsidR="00D729DF">
        <w:rPr>
          <w:rFonts w:ascii="Verdana" w:eastAsiaTheme="minorHAnsi" w:hAnsi="Verdana"/>
          <w:sz w:val="22"/>
          <w:szCs w:val="22"/>
        </w:rPr>
        <w:t xml:space="preserve"> A</w:t>
      </w:r>
      <w:r w:rsidRPr="006657B1">
        <w:rPr>
          <w:rFonts w:ascii="Verdana" w:eastAsiaTheme="minorHAnsi" w:hAnsi="Verdana"/>
          <w:sz w:val="22"/>
          <w:szCs w:val="22"/>
        </w:rPr>
        <w:t>ll staff and volunteers share responsibility in promoting the welfare of children and vulnerable adults and protecting them from harm.</w:t>
      </w:r>
      <w:r w:rsidR="003F54B9" w:rsidRPr="006657B1">
        <w:rPr>
          <w:rFonts w:ascii="Verdana" w:eastAsiaTheme="minorHAnsi" w:hAnsi="Verdana"/>
          <w:sz w:val="22"/>
          <w:szCs w:val="22"/>
        </w:rPr>
        <w:t xml:space="preserve"> </w:t>
      </w:r>
      <w:r w:rsidR="000463B7">
        <w:rPr>
          <w:rFonts w:ascii="Verdana" w:eastAsiaTheme="minorHAnsi" w:hAnsi="Verdana"/>
          <w:sz w:val="22"/>
          <w:szCs w:val="22"/>
        </w:rPr>
        <w:t>In maintaining an open and transparent safeguarding culture, e</w:t>
      </w:r>
      <w:r w:rsidR="00437959">
        <w:rPr>
          <w:rFonts w:ascii="Verdana" w:eastAsiaTheme="minorHAnsi" w:hAnsi="Verdana"/>
          <w:sz w:val="22"/>
          <w:szCs w:val="22"/>
        </w:rPr>
        <w:t xml:space="preserve">veryone is expected to be vigilant </w:t>
      </w:r>
      <w:r w:rsidR="003F54B9" w:rsidRPr="006657B1">
        <w:rPr>
          <w:rFonts w:ascii="Verdana" w:eastAsiaTheme="minorHAnsi" w:hAnsi="Verdana"/>
          <w:sz w:val="22"/>
          <w:szCs w:val="22"/>
        </w:rPr>
        <w:t xml:space="preserve">in identifying concerns and reporting </w:t>
      </w:r>
      <w:r w:rsidR="00437959">
        <w:rPr>
          <w:rFonts w:ascii="Verdana" w:eastAsiaTheme="minorHAnsi" w:hAnsi="Verdana"/>
          <w:sz w:val="22"/>
          <w:szCs w:val="22"/>
        </w:rPr>
        <w:t>safeguarding concerns</w:t>
      </w:r>
      <w:r w:rsidR="000463B7">
        <w:rPr>
          <w:rFonts w:ascii="Verdana" w:eastAsiaTheme="minorHAnsi" w:hAnsi="Verdana"/>
          <w:sz w:val="22"/>
          <w:szCs w:val="22"/>
        </w:rPr>
        <w:t xml:space="preserve"> without delay.</w:t>
      </w:r>
    </w:p>
    <w:p w:rsidR="000463B7" w:rsidRDefault="000463B7">
      <w:pPr>
        <w:rPr>
          <w:rFonts w:ascii="Verdana" w:eastAsiaTheme="minorHAnsi" w:hAnsi="Verdana"/>
          <w:sz w:val="22"/>
          <w:szCs w:val="22"/>
        </w:rPr>
      </w:pPr>
    </w:p>
    <w:p w:rsidR="00691690" w:rsidRPr="00691690" w:rsidRDefault="006657B1">
      <w:pPr>
        <w:rPr>
          <w:rFonts w:ascii="Verdana" w:eastAsiaTheme="minorHAnsi" w:hAnsi="Verdana"/>
          <w:sz w:val="22"/>
          <w:szCs w:val="22"/>
        </w:rPr>
      </w:pPr>
      <w:r w:rsidRPr="006657B1">
        <w:rPr>
          <w:rFonts w:ascii="Verdana" w:eastAsiaTheme="minorHAnsi" w:hAnsi="Verdana"/>
          <w:sz w:val="22"/>
          <w:szCs w:val="22"/>
        </w:rPr>
        <w:t>To</w:t>
      </w:r>
      <w:r w:rsidR="000463B7">
        <w:rPr>
          <w:rFonts w:ascii="Verdana" w:eastAsiaTheme="minorHAnsi" w:hAnsi="Verdana"/>
          <w:sz w:val="22"/>
          <w:szCs w:val="22"/>
        </w:rPr>
        <w:t xml:space="preserve"> </w:t>
      </w:r>
      <w:r w:rsidRPr="006657B1">
        <w:rPr>
          <w:rFonts w:ascii="Verdana" w:eastAsiaTheme="minorHAnsi" w:hAnsi="Verdana"/>
          <w:sz w:val="22"/>
          <w:szCs w:val="22"/>
        </w:rPr>
        <w:t>support this</w:t>
      </w:r>
      <w:r w:rsidR="00691690">
        <w:rPr>
          <w:rFonts w:ascii="Verdana" w:eastAsiaTheme="minorHAnsi" w:hAnsi="Verdana"/>
          <w:sz w:val="22"/>
          <w:szCs w:val="22"/>
        </w:rPr>
        <w:t>,</w:t>
      </w:r>
      <w:r w:rsidRPr="006657B1">
        <w:rPr>
          <w:rFonts w:ascii="Verdana" w:eastAsiaTheme="minorHAnsi" w:hAnsi="Verdana"/>
          <w:sz w:val="22"/>
          <w:szCs w:val="22"/>
        </w:rPr>
        <w:t xml:space="preserve"> line managers </w:t>
      </w:r>
      <w:r w:rsidR="00691690">
        <w:rPr>
          <w:rFonts w:ascii="Verdana" w:eastAsiaTheme="minorHAnsi" w:hAnsi="Verdana"/>
          <w:sz w:val="22"/>
          <w:szCs w:val="22"/>
        </w:rPr>
        <w:t xml:space="preserve">are responsible for holding </w:t>
      </w:r>
      <w:r w:rsidRPr="006657B1">
        <w:rPr>
          <w:rFonts w:ascii="Verdana" w:eastAsiaTheme="minorHAnsi" w:hAnsi="Verdana"/>
          <w:sz w:val="22"/>
          <w:szCs w:val="22"/>
        </w:rPr>
        <w:t xml:space="preserve">a safeguarding conversation </w:t>
      </w:r>
      <w:r w:rsidR="000463B7">
        <w:rPr>
          <w:rFonts w:ascii="Verdana" w:eastAsiaTheme="minorHAnsi" w:hAnsi="Verdana"/>
          <w:sz w:val="22"/>
          <w:szCs w:val="22"/>
        </w:rPr>
        <w:t xml:space="preserve">as </w:t>
      </w:r>
      <w:r w:rsidRPr="006657B1">
        <w:rPr>
          <w:rFonts w:ascii="Verdana" w:eastAsiaTheme="minorHAnsi" w:hAnsi="Verdana"/>
          <w:sz w:val="22"/>
          <w:szCs w:val="22"/>
        </w:rPr>
        <w:t>part of a new starter’s inductio</w:t>
      </w:r>
      <w:r w:rsidR="00691690">
        <w:rPr>
          <w:rFonts w:ascii="Verdana" w:eastAsiaTheme="minorHAnsi" w:hAnsi="Verdana"/>
          <w:sz w:val="22"/>
          <w:szCs w:val="22"/>
        </w:rPr>
        <w:t>n</w:t>
      </w:r>
      <w:r w:rsidR="000463B7">
        <w:rPr>
          <w:rFonts w:ascii="Verdana" w:eastAsiaTheme="minorHAnsi" w:hAnsi="Verdana"/>
          <w:sz w:val="22"/>
          <w:szCs w:val="22"/>
        </w:rPr>
        <w:t xml:space="preserve"> to ensure that they understand their safeguarding responsibilities</w:t>
      </w:r>
      <w:r w:rsidR="00726D01">
        <w:rPr>
          <w:rFonts w:ascii="Verdana" w:eastAsiaTheme="minorHAnsi" w:hAnsi="Verdana"/>
          <w:sz w:val="22"/>
          <w:szCs w:val="22"/>
        </w:rPr>
        <w:t>;</w:t>
      </w:r>
      <w:r w:rsidR="000463B7">
        <w:rPr>
          <w:rFonts w:ascii="Verdana" w:eastAsiaTheme="minorHAnsi" w:hAnsi="Verdana"/>
          <w:sz w:val="22"/>
          <w:szCs w:val="22"/>
        </w:rPr>
        <w:t xml:space="preserve"> </w:t>
      </w:r>
      <w:r w:rsidR="00691690">
        <w:rPr>
          <w:rFonts w:ascii="Verdana" w:eastAsiaTheme="minorHAnsi" w:hAnsi="Verdana"/>
          <w:sz w:val="22"/>
          <w:szCs w:val="22"/>
        </w:rPr>
        <w:t xml:space="preserve">a recommendation that was agreed following the </w:t>
      </w:r>
      <w:r w:rsidR="00691690" w:rsidRPr="00691690">
        <w:rPr>
          <w:rFonts w:ascii="Verdana" w:eastAsiaTheme="minorHAnsi" w:hAnsi="Verdana"/>
          <w:sz w:val="22"/>
          <w:szCs w:val="22"/>
        </w:rPr>
        <w:t xml:space="preserve">CAIU Corporate Safeguarding </w:t>
      </w:r>
      <w:r w:rsidR="001C202B">
        <w:rPr>
          <w:rFonts w:ascii="Verdana" w:eastAsiaTheme="minorHAnsi" w:hAnsi="Verdana"/>
          <w:sz w:val="22"/>
          <w:szCs w:val="22"/>
        </w:rPr>
        <w:t>Review</w:t>
      </w:r>
      <w:r w:rsidR="00691690" w:rsidRPr="00691690">
        <w:rPr>
          <w:rFonts w:ascii="Verdana" w:eastAsiaTheme="minorHAnsi" w:hAnsi="Verdana"/>
          <w:sz w:val="22"/>
          <w:szCs w:val="22"/>
        </w:rPr>
        <w:t>.</w:t>
      </w:r>
    </w:p>
    <w:p w:rsidR="00691690" w:rsidRPr="00AE6A42" w:rsidRDefault="00691690">
      <w:pPr>
        <w:rPr>
          <w:rFonts w:ascii="Verdana" w:eastAsiaTheme="minorHAnsi" w:hAnsi="Verdana"/>
          <w:sz w:val="22"/>
          <w:szCs w:val="22"/>
        </w:rPr>
      </w:pPr>
    </w:p>
    <w:p w:rsidR="00DA1A29" w:rsidRPr="006657B1" w:rsidRDefault="00691690">
      <w:pPr>
        <w:rPr>
          <w:rFonts w:ascii="Verdana" w:eastAsiaTheme="minorHAnsi" w:hAnsi="Verdana"/>
          <w:sz w:val="22"/>
          <w:szCs w:val="22"/>
        </w:rPr>
      </w:pPr>
      <w:r w:rsidRPr="00AE6A42">
        <w:rPr>
          <w:rFonts w:ascii="Verdana" w:eastAsiaTheme="minorHAnsi" w:hAnsi="Verdana"/>
          <w:sz w:val="22"/>
          <w:szCs w:val="22"/>
        </w:rPr>
        <w:t>Line managers should use this</w:t>
      </w:r>
      <w:r w:rsidR="006657B1" w:rsidRPr="006657B1">
        <w:rPr>
          <w:rFonts w:ascii="Verdana" w:eastAsiaTheme="minorHAnsi" w:hAnsi="Verdana"/>
          <w:sz w:val="22"/>
          <w:szCs w:val="22"/>
        </w:rPr>
        <w:t xml:space="preserve"> checklist</w:t>
      </w:r>
      <w:r w:rsidR="00AE6A42">
        <w:rPr>
          <w:rFonts w:ascii="Verdana" w:eastAsiaTheme="minorHAnsi" w:hAnsi="Verdana"/>
          <w:sz w:val="22"/>
          <w:szCs w:val="22"/>
        </w:rPr>
        <w:t xml:space="preserve"> (alongside the</w:t>
      </w:r>
      <w:r w:rsidR="00AE6A42" w:rsidRPr="00AE6A42">
        <w:rPr>
          <w:sz w:val="28"/>
          <w:szCs w:val="28"/>
        </w:rPr>
        <w:t xml:space="preserve"> </w:t>
      </w:r>
      <w:hyperlink r:id="rId9" w:history="1">
        <w:r w:rsidR="00AE6A42">
          <w:rPr>
            <w:rStyle w:val="Hyperlink"/>
            <w:sz w:val="28"/>
            <w:szCs w:val="28"/>
          </w:rPr>
          <w:t>information for managers that is published on the induction website</w:t>
        </w:r>
      </w:hyperlink>
      <w:r w:rsidR="00AE6A42">
        <w:rPr>
          <w:sz w:val="28"/>
          <w:szCs w:val="28"/>
        </w:rPr>
        <w:t>)</w:t>
      </w:r>
      <w:r w:rsidR="006657B1" w:rsidRPr="006657B1">
        <w:rPr>
          <w:rFonts w:ascii="Verdana" w:eastAsiaTheme="minorHAnsi" w:hAnsi="Verdana"/>
          <w:sz w:val="22"/>
          <w:szCs w:val="22"/>
        </w:rPr>
        <w:t xml:space="preserve"> to</w:t>
      </w:r>
      <w:r w:rsidR="00726D01">
        <w:rPr>
          <w:rFonts w:ascii="Verdana" w:eastAsiaTheme="minorHAnsi" w:hAnsi="Verdana"/>
          <w:sz w:val="22"/>
          <w:szCs w:val="22"/>
        </w:rPr>
        <w:t xml:space="preserve"> ensure the essential</w:t>
      </w:r>
      <w:r w:rsidR="00AE6A42">
        <w:rPr>
          <w:rFonts w:ascii="Verdana" w:eastAsiaTheme="minorHAnsi" w:hAnsi="Verdana"/>
          <w:sz w:val="22"/>
          <w:szCs w:val="22"/>
        </w:rPr>
        <w:t xml:space="preserve"> elements of the conversation</w:t>
      </w:r>
      <w:r w:rsidR="00726D01">
        <w:rPr>
          <w:rFonts w:ascii="Verdana" w:eastAsiaTheme="minorHAnsi" w:hAnsi="Verdana"/>
          <w:sz w:val="22"/>
          <w:szCs w:val="22"/>
        </w:rPr>
        <w:t xml:space="preserve"> are covered</w:t>
      </w:r>
      <w:r w:rsidR="00AE6A42">
        <w:rPr>
          <w:rFonts w:ascii="Verdana" w:eastAsiaTheme="minorHAnsi" w:hAnsi="Verdana"/>
          <w:sz w:val="22"/>
          <w:szCs w:val="22"/>
        </w:rPr>
        <w:t xml:space="preserve">. </w:t>
      </w:r>
      <w:r w:rsidR="006657B1" w:rsidRPr="006657B1">
        <w:rPr>
          <w:rFonts w:ascii="Verdana" w:eastAsiaTheme="minorHAnsi" w:hAnsi="Verdana"/>
          <w:sz w:val="22"/>
          <w:szCs w:val="22"/>
        </w:rPr>
        <w:t>When completed, a copy of the c</w:t>
      </w:r>
      <w:r w:rsidR="00976BC5">
        <w:rPr>
          <w:rFonts w:ascii="Verdana" w:eastAsiaTheme="minorHAnsi" w:hAnsi="Verdana"/>
          <w:sz w:val="22"/>
          <w:szCs w:val="22"/>
        </w:rPr>
        <w:t>hecklist should be retained on the</w:t>
      </w:r>
      <w:r w:rsidR="006657B1" w:rsidRPr="006657B1">
        <w:rPr>
          <w:rFonts w:ascii="Verdana" w:eastAsiaTheme="minorHAnsi" w:hAnsi="Verdana"/>
          <w:sz w:val="22"/>
          <w:szCs w:val="22"/>
        </w:rPr>
        <w:t xml:space="preserve"> new starter’s electronic staff file.</w:t>
      </w:r>
    </w:p>
    <w:p w:rsidR="00DA1A29" w:rsidRDefault="00DA1A29">
      <w:pPr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992"/>
        <w:gridCol w:w="850"/>
      </w:tblGrid>
      <w:tr w:rsidR="00DA1A29" w:rsidRPr="00E415A2" w:rsidTr="00770D55">
        <w:trPr>
          <w:trHeight w:val="451"/>
        </w:trPr>
        <w:tc>
          <w:tcPr>
            <w:tcW w:w="8897" w:type="dxa"/>
            <w:gridSpan w:val="2"/>
            <w:tcBorders>
              <w:bottom w:val="single" w:sz="4" w:space="0" w:color="auto"/>
              <w:right w:val="nil"/>
            </w:tcBorders>
            <w:shd w:val="clear" w:color="auto" w:fill="8DC63F"/>
            <w:vAlign w:val="center"/>
          </w:tcPr>
          <w:p w:rsidR="00596137" w:rsidRPr="00155D9B" w:rsidRDefault="00DA1A29" w:rsidP="00155D9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8"/>
                <w:szCs w:val="28"/>
              </w:rPr>
              <w:br/>
            </w:r>
            <w:r w:rsidR="00596137" w:rsidRPr="00155D9B">
              <w:rPr>
                <w:rFonts w:ascii="Verdana" w:hAnsi="Verdana"/>
                <w:b/>
              </w:rPr>
              <w:t>Holding Safeguarding Induction Conversations</w:t>
            </w:r>
          </w:p>
          <w:p w:rsidR="00DA1A29" w:rsidRPr="00D925BA" w:rsidRDefault="00DA1A29" w:rsidP="00770D55">
            <w:pPr>
              <w:ind w:left="-142" w:right="-142"/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155D9B">
              <w:rPr>
                <w:rFonts w:ascii="Verdana" w:hAnsi="Verdana"/>
                <w:b/>
              </w:rPr>
              <w:t xml:space="preserve">Manager checklist for staff and volunteers </w:t>
            </w:r>
            <w:r w:rsidR="006657B1" w:rsidRPr="00155D9B">
              <w:rPr>
                <w:rFonts w:ascii="Verdana" w:hAnsi="Verdana"/>
                <w:b/>
              </w:rPr>
              <w:t xml:space="preserve"> (week 3)</w:t>
            </w:r>
            <w:r w:rsidRPr="00155D9B">
              <w:rPr>
                <w:rFonts w:ascii="Verdana" w:hAnsi="Verdana"/>
                <w:b/>
              </w:rPr>
              <w:br/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8DC63F"/>
            <w:vAlign w:val="center"/>
          </w:tcPr>
          <w:p w:rsidR="00DA1A29" w:rsidRPr="00E415A2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2A5283" w:rsidRDefault="002A5283" w:rsidP="004B2328">
            <w:pPr>
              <w:rPr>
                <w:rFonts w:ascii="Verdana" w:eastAsiaTheme="minorHAnsi" w:hAnsi="Verdana"/>
                <w:sz w:val="22"/>
                <w:szCs w:val="22"/>
              </w:rPr>
            </w:pPr>
          </w:p>
          <w:p w:rsidR="00AA1979" w:rsidRDefault="00AA1979" w:rsidP="004B2328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Safeguarding Conduct of Conduct:</w:t>
            </w:r>
          </w:p>
          <w:p w:rsidR="00AA1979" w:rsidRPr="00AA1979" w:rsidRDefault="00DA1A29" w:rsidP="00AA1979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2"/>
                <w:szCs w:val="22"/>
              </w:rPr>
            </w:pPr>
            <w:r w:rsidRPr="00AA1979">
              <w:rPr>
                <w:rFonts w:eastAsiaTheme="minorHAnsi"/>
                <w:sz w:val="22"/>
                <w:szCs w:val="22"/>
              </w:rPr>
              <w:t xml:space="preserve">Check that the </w:t>
            </w:r>
            <w:r w:rsidR="00B1569B">
              <w:rPr>
                <w:rFonts w:eastAsiaTheme="minorHAnsi"/>
                <w:sz w:val="22"/>
                <w:szCs w:val="22"/>
              </w:rPr>
              <w:t xml:space="preserve">new starter </w:t>
            </w:r>
            <w:r w:rsidRPr="00AA1979">
              <w:rPr>
                <w:rFonts w:eastAsiaTheme="minorHAnsi"/>
                <w:sz w:val="22"/>
                <w:szCs w:val="22"/>
              </w:rPr>
              <w:t xml:space="preserve">has read the Safeguarding Code of Conduct and understands everything within the document, including the relevance it has to their role and environment they are working in. </w:t>
            </w:r>
          </w:p>
          <w:p w:rsidR="00AA1979" w:rsidRDefault="004B2328" w:rsidP="004B2328">
            <w:pPr>
              <w:pStyle w:val="ListParagraph"/>
              <w:numPr>
                <w:ilvl w:val="0"/>
                <w:numId w:val="6"/>
              </w:numPr>
              <w:rPr>
                <w:rFonts w:eastAsiaTheme="minorHAnsi"/>
                <w:sz w:val="22"/>
                <w:szCs w:val="22"/>
              </w:rPr>
            </w:pPr>
            <w:r w:rsidRPr="00AA1979">
              <w:rPr>
                <w:rFonts w:eastAsiaTheme="minorHAnsi"/>
                <w:sz w:val="22"/>
                <w:szCs w:val="22"/>
              </w:rPr>
              <w:t>F</w:t>
            </w:r>
            <w:r w:rsidR="00DA1A29" w:rsidRPr="00AA1979">
              <w:rPr>
                <w:rFonts w:eastAsiaTheme="minorHAnsi"/>
                <w:sz w:val="22"/>
                <w:szCs w:val="22"/>
              </w:rPr>
              <w:t>or non-regulated roles: highlight the importance of the Safeguarding Code of Conduct; that they must feel comfortable signing it and that if there is anything that they don’t understand this can be explained to them.</w:t>
            </w:r>
          </w:p>
          <w:p w:rsidR="00AA1979" w:rsidRPr="00AA1979" w:rsidRDefault="00AA1979" w:rsidP="00AA1979">
            <w:pPr>
              <w:rPr>
                <w:rFonts w:ascii="Verdana" w:eastAsiaTheme="minorHAnsi" w:hAnsi="Verdana"/>
                <w:sz w:val="22"/>
                <w:szCs w:val="22"/>
              </w:rPr>
            </w:pPr>
          </w:p>
          <w:p w:rsidR="00AA1979" w:rsidRPr="00AA1979" w:rsidRDefault="004B2328" w:rsidP="00AA1979">
            <w:pPr>
              <w:rPr>
                <w:rFonts w:eastAsiaTheme="minorHAnsi"/>
                <w:sz w:val="22"/>
                <w:szCs w:val="22"/>
              </w:rPr>
            </w:pPr>
            <w:r w:rsidRPr="00AA1979">
              <w:rPr>
                <w:rFonts w:ascii="Verdana" w:eastAsiaTheme="minorHAnsi" w:hAnsi="Verdana"/>
                <w:sz w:val="22"/>
                <w:szCs w:val="22"/>
              </w:rPr>
              <w:t>Example questions:</w:t>
            </w:r>
          </w:p>
          <w:p w:rsidR="00AA1979" w:rsidRPr="00AA1979" w:rsidRDefault="004B2328" w:rsidP="00AA1979">
            <w:pPr>
              <w:pStyle w:val="ListParagraph"/>
              <w:numPr>
                <w:ilvl w:val="0"/>
                <w:numId w:val="6"/>
              </w:numPr>
              <w:rPr>
                <w:rFonts w:cs="Gill Alt One MT"/>
                <w:b/>
                <w:color w:val="000000"/>
                <w:sz w:val="22"/>
                <w:szCs w:val="22"/>
              </w:rPr>
            </w:pPr>
            <w:r w:rsidRPr="00AA1979">
              <w:rPr>
                <w:rFonts w:eastAsiaTheme="minorHAnsi"/>
                <w:sz w:val="22"/>
                <w:szCs w:val="22"/>
              </w:rPr>
              <w:t xml:space="preserve">This is an important document that we want you to feel comfortable about. Are there any areas within the </w:t>
            </w:r>
            <w:r w:rsidR="002023DF">
              <w:rPr>
                <w:rFonts w:eastAsiaTheme="minorHAnsi"/>
                <w:sz w:val="22"/>
                <w:szCs w:val="22"/>
              </w:rPr>
              <w:t>Safeguarding C</w:t>
            </w:r>
            <w:r w:rsidRPr="00AA1979">
              <w:rPr>
                <w:rFonts w:eastAsiaTheme="minorHAnsi"/>
                <w:sz w:val="22"/>
                <w:szCs w:val="22"/>
              </w:rPr>
              <w:t xml:space="preserve">ode of </w:t>
            </w:r>
            <w:r w:rsidR="002023DF">
              <w:rPr>
                <w:rFonts w:eastAsiaTheme="minorHAnsi"/>
                <w:sz w:val="22"/>
                <w:szCs w:val="22"/>
              </w:rPr>
              <w:t>C</w:t>
            </w:r>
            <w:r w:rsidRPr="00AA1979">
              <w:rPr>
                <w:rFonts w:eastAsiaTheme="minorHAnsi"/>
                <w:sz w:val="22"/>
                <w:szCs w:val="22"/>
              </w:rPr>
              <w:t xml:space="preserve">onduct that are worrying you prior to signing? </w:t>
            </w:r>
          </w:p>
          <w:p w:rsidR="00AA1979" w:rsidRPr="00AA1979" w:rsidRDefault="00AA1979" w:rsidP="00AA1979">
            <w:pPr>
              <w:pStyle w:val="ListParagraph"/>
              <w:rPr>
                <w:rFonts w:eastAsiaTheme="minorHAnsi"/>
                <w:sz w:val="22"/>
                <w:szCs w:val="22"/>
              </w:rPr>
            </w:pPr>
          </w:p>
          <w:p w:rsidR="00DA1A29" w:rsidRPr="00E415A2" w:rsidRDefault="004B2328" w:rsidP="001B2289">
            <w:pPr>
              <w:pStyle w:val="ListParagraph"/>
              <w:numPr>
                <w:ilvl w:val="0"/>
                <w:numId w:val="6"/>
              </w:numPr>
              <w:rPr>
                <w:rFonts w:cs="Gill Alt One MT"/>
                <w:b/>
                <w:color w:val="000000"/>
                <w:sz w:val="22"/>
                <w:szCs w:val="22"/>
              </w:rPr>
            </w:pPr>
            <w:r w:rsidRPr="004B2328">
              <w:rPr>
                <w:rFonts w:eastAsiaTheme="minorHAnsi"/>
                <w:sz w:val="22"/>
                <w:szCs w:val="22"/>
              </w:rPr>
              <w:t>Do you understand</w:t>
            </w:r>
            <w:r>
              <w:rPr>
                <w:rFonts w:eastAsiaTheme="minorHAnsi"/>
                <w:sz w:val="22"/>
                <w:szCs w:val="22"/>
              </w:rPr>
              <w:t xml:space="preserve"> everything within the document and how it is relevant to your role and the environment you are working in</w:t>
            </w:r>
            <w:r w:rsidR="001B2289">
              <w:rPr>
                <w:rFonts w:eastAsiaTheme="minorHAnsi"/>
                <w:sz w:val="22"/>
                <w:szCs w:val="22"/>
              </w:rPr>
              <w:t xml:space="preserve">? Is there anything else you need me to </w:t>
            </w:r>
            <w:r w:rsidRPr="004B2328">
              <w:rPr>
                <w:rFonts w:eastAsiaTheme="minorHAnsi"/>
                <w:sz w:val="22"/>
                <w:szCs w:val="22"/>
              </w:rPr>
              <w:t xml:space="preserve">explain </w:t>
            </w:r>
            <w:r w:rsidR="001B2289">
              <w:rPr>
                <w:rFonts w:eastAsiaTheme="minorHAnsi"/>
                <w:sz w:val="22"/>
                <w:szCs w:val="22"/>
              </w:rPr>
              <w:t>further?</w:t>
            </w:r>
            <w:r w:rsidRPr="004B2328">
              <w:rPr>
                <w:color w:val="1F497D"/>
              </w:rPr>
              <w:t xml:space="preserve"> </w:t>
            </w:r>
            <w:r w:rsidR="00DA1A29">
              <w:rPr>
                <w:rFonts w:cs="Tahoma"/>
                <w:sz w:val="22"/>
                <w:szCs w:val="22"/>
              </w:rPr>
              <w:br/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CC0E74" w:rsidRDefault="002023DF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 w:rsidR="00DA1A29">
              <w:rPr>
                <w:color w:val="FFFFFF"/>
                <w:sz w:val="40"/>
                <w:szCs w:val="40"/>
              </w:rPr>
              <w:br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 w:rsidR="00DA1A29">
              <w:rPr>
                <w:color w:val="FFFFFF"/>
                <w:sz w:val="40"/>
                <w:szCs w:val="40"/>
              </w:rPr>
              <w:br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Pr="00E415A2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AA1979" w:rsidRDefault="00AA1979" w:rsidP="00A12704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br/>
              <w:t>Safeguarding Induction Leaflet:</w:t>
            </w:r>
          </w:p>
          <w:p w:rsidR="00AA1979" w:rsidRDefault="00DA1A29" w:rsidP="00AA1979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 w:rsidRPr="00AA1979">
              <w:rPr>
                <w:rFonts w:eastAsiaTheme="minorHAnsi"/>
                <w:sz w:val="22"/>
                <w:szCs w:val="22"/>
              </w:rPr>
              <w:t>Discuss Safeguarding Induction Leaflet – check that the</w:t>
            </w:r>
            <w:r w:rsidR="00B1569B">
              <w:rPr>
                <w:rFonts w:eastAsiaTheme="minorHAnsi"/>
                <w:sz w:val="22"/>
                <w:szCs w:val="22"/>
              </w:rPr>
              <w:t xml:space="preserve"> new </w:t>
            </w:r>
            <w:r w:rsidR="00B1569B">
              <w:rPr>
                <w:rFonts w:eastAsiaTheme="minorHAnsi"/>
                <w:sz w:val="22"/>
                <w:szCs w:val="22"/>
              </w:rPr>
              <w:lastRenderedPageBreak/>
              <w:t xml:space="preserve">starter </w:t>
            </w:r>
            <w:r w:rsidRPr="00AA1979">
              <w:rPr>
                <w:rFonts w:eastAsiaTheme="minorHAnsi"/>
                <w:sz w:val="22"/>
                <w:szCs w:val="22"/>
              </w:rPr>
              <w:t xml:space="preserve">has read the leaflet and </w:t>
            </w:r>
            <w:r w:rsidR="002F2A71" w:rsidRPr="00AA1979">
              <w:rPr>
                <w:rFonts w:eastAsiaTheme="minorHAnsi"/>
                <w:sz w:val="22"/>
                <w:szCs w:val="22"/>
              </w:rPr>
              <w:t>understands it.</w:t>
            </w:r>
          </w:p>
          <w:p w:rsidR="00AA1979" w:rsidRPr="00AA1979" w:rsidRDefault="00A12704" w:rsidP="00AA1979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  <w:r w:rsidRPr="00AA1979">
              <w:rPr>
                <w:rFonts w:ascii="Verdana" w:eastAsiaTheme="minorHAnsi" w:hAnsi="Verdana"/>
                <w:sz w:val="22"/>
                <w:szCs w:val="22"/>
              </w:rPr>
              <w:t>Example question</w:t>
            </w:r>
            <w:r w:rsidR="00AA1979">
              <w:rPr>
                <w:rFonts w:ascii="Verdana" w:eastAsiaTheme="minorHAnsi" w:hAnsi="Verdana"/>
                <w:sz w:val="22"/>
                <w:szCs w:val="22"/>
              </w:rPr>
              <w:t>s</w:t>
            </w:r>
            <w:r w:rsidRPr="00AA1979">
              <w:rPr>
                <w:rFonts w:ascii="Verdana" w:eastAsiaTheme="minorHAnsi" w:hAnsi="Verdana"/>
                <w:sz w:val="22"/>
                <w:szCs w:val="22"/>
              </w:rPr>
              <w:t>:</w:t>
            </w:r>
          </w:p>
          <w:p w:rsidR="00AA1979" w:rsidRDefault="00A12704" w:rsidP="00AA1979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</w:t>
            </w:r>
            <w:r w:rsidR="002F2A71">
              <w:rPr>
                <w:rFonts w:eastAsiaTheme="minorHAnsi"/>
                <w:sz w:val="22"/>
                <w:szCs w:val="22"/>
              </w:rPr>
              <w:t>id you receive a c</w:t>
            </w:r>
            <w:r>
              <w:rPr>
                <w:rFonts w:eastAsiaTheme="minorHAnsi"/>
                <w:sz w:val="22"/>
                <w:szCs w:val="22"/>
              </w:rPr>
              <w:t>o</w:t>
            </w:r>
            <w:r w:rsidR="002F2A71">
              <w:rPr>
                <w:rFonts w:eastAsiaTheme="minorHAnsi"/>
                <w:sz w:val="22"/>
                <w:szCs w:val="22"/>
              </w:rPr>
              <w:t>py of the Safeguarding Induction Leaflet?</w:t>
            </w:r>
          </w:p>
          <w:p w:rsidR="00DF543C" w:rsidRDefault="002F2A71" w:rsidP="00AA1979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Do you</w:t>
            </w:r>
            <w:r w:rsidR="00A12704">
              <w:rPr>
                <w:rFonts w:eastAsiaTheme="minorHAnsi"/>
                <w:sz w:val="22"/>
                <w:szCs w:val="22"/>
              </w:rPr>
              <w:t xml:space="preserve"> understand everything within the leaflet</w:t>
            </w:r>
            <w:r w:rsidR="00DF543C">
              <w:rPr>
                <w:rFonts w:eastAsiaTheme="minorHAnsi"/>
                <w:sz w:val="22"/>
                <w:szCs w:val="22"/>
              </w:rPr>
              <w:t xml:space="preserve">? </w:t>
            </w:r>
          </w:p>
          <w:p w:rsidR="00AA1979" w:rsidRDefault="00DF543C" w:rsidP="00AA1979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Is there anything else you need me to explain further?</w:t>
            </w:r>
            <w:r w:rsidR="00A12704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DA1A29" w:rsidRPr="00AA1979" w:rsidRDefault="00DA1A29" w:rsidP="00AA1979">
            <w:pPr>
              <w:spacing w:after="160"/>
              <w:rPr>
                <w:rFonts w:eastAsiaTheme="minorHAnsi"/>
                <w:sz w:val="22"/>
                <w:szCs w:val="22"/>
              </w:rPr>
            </w:pPr>
            <w:r w:rsidRPr="00AA1979">
              <w:rPr>
                <w:rFonts w:ascii="Verdana" w:eastAsiaTheme="minorHAnsi" w:hAnsi="Verdana"/>
                <w:sz w:val="22"/>
                <w:szCs w:val="22"/>
                <w:lang w:eastAsia="en-GB"/>
              </w:rPr>
              <w:t xml:space="preserve">For </w:t>
            </w:r>
            <w:r w:rsidRPr="00AA1979">
              <w:rPr>
                <w:rFonts w:ascii="Verdana" w:eastAsiaTheme="minorHAnsi" w:hAnsi="Verdana"/>
                <w:b/>
                <w:sz w:val="22"/>
                <w:szCs w:val="22"/>
                <w:lang w:eastAsia="en-GB"/>
              </w:rPr>
              <w:t>Fundraising, Marketing and Retail</w:t>
            </w:r>
            <w:r w:rsidRPr="00AA1979">
              <w:rPr>
                <w:rFonts w:ascii="Verdana" w:eastAsiaTheme="minorHAnsi" w:hAnsi="Verdana"/>
                <w:sz w:val="22"/>
                <w:szCs w:val="22"/>
                <w:lang w:eastAsia="en-GB"/>
              </w:rPr>
              <w:t xml:space="preserve"> inductions check/confirm receipt of safeguarding induction sign-off form which is included as part of the leaflet.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>
              <w:rPr>
                <w:color w:val="FFFFFF"/>
                <w:sz w:val="40"/>
                <w:szCs w:val="40"/>
              </w:rPr>
              <w:br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Pr="00E415A2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AA1979" w:rsidRDefault="00AA1979" w:rsidP="00770D55">
            <w:pPr>
              <w:spacing w:after="160"/>
              <w:rPr>
                <w:rFonts w:ascii="Verdana" w:hAnsi="Verdana" w:cs="Tahoma"/>
                <w:sz w:val="22"/>
                <w:szCs w:val="22"/>
              </w:rPr>
            </w:pPr>
          </w:p>
          <w:p w:rsidR="00AA1979" w:rsidRPr="008C1088" w:rsidRDefault="00AA1979" w:rsidP="00770D55">
            <w:pPr>
              <w:spacing w:after="160"/>
              <w:rPr>
                <w:rFonts w:ascii="Verdana" w:hAnsi="Verdana" w:cs="Tahoma"/>
                <w:sz w:val="22"/>
                <w:szCs w:val="22"/>
              </w:rPr>
            </w:pPr>
            <w:r w:rsidRPr="008C1088">
              <w:rPr>
                <w:rFonts w:ascii="Verdana" w:hAnsi="Verdana" w:cs="Tahoma"/>
                <w:sz w:val="22"/>
                <w:szCs w:val="22"/>
              </w:rPr>
              <w:t>Safeguarding Induction Training</w:t>
            </w:r>
            <w:r w:rsidR="008C1088">
              <w:rPr>
                <w:rFonts w:ascii="Verdana" w:hAnsi="Verdana" w:cs="Tahoma"/>
                <w:sz w:val="22"/>
                <w:szCs w:val="22"/>
              </w:rPr>
              <w:t>:</w:t>
            </w:r>
            <w:r w:rsidRPr="008C1088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8C1088" w:rsidRPr="008C1088" w:rsidRDefault="00DA1A29" w:rsidP="008C108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 w:rsidRPr="008C1088">
              <w:rPr>
                <w:rFonts w:cs="Tahoma"/>
                <w:sz w:val="22"/>
                <w:szCs w:val="22"/>
              </w:rPr>
              <w:t xml:space="preserve">Discuss online safeguarding induction training, how they found it and whether it raised anything that it would be helpful to have further clarity on. </w:t>
            </w:r>
          </w:p>
          <w:p w:rsidR="00DA1A29" w:rsidRDefault="00DA1A29" w:rsidP="008C1088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 w:rsidRPr="005E35C2">
              <w:rPr>
                <w:rFonts w:cs="Tahoma"/>
                <w:b/>
                <w:sz w:val="22"/>
                <w:szCs w:val="22"/>
              </w:rPr>
              <w:t>For regulated, Children’s Services roles</w:t>
            </w:r>
            <w:r>
              <w:rPr>
                <w:rFonts w:cs="Tahoma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sz w:val="22"/>
                <w:szCs w:val="22"/>
              </w:rPr>
              <w:t xml:space="preserve">Discuss </w:t>
            </w:r>
            <w:r w:rsidRPr="00590AEC">
              <w:rPr>
                <w:rFonts w:eastAsiaTheme="minorHAnsi"/>
                <w:sz w:val="22"/>
                <w:szCs w:val="22"/>
              </w:rPr>
              <w:t xml:space="preserve">information sharing/core child protection training </w:t>
            </w:r>
            <w:r>
              <w:rPr>
                <w:rFonts w:eastAsiaTheme="minorHAnsi"/>
                <w:sz w:val="22"/>
                <w:szCs w:val="22"/>
              </w:rPr>
              <w:t xml:space="preserve">course (Module 1, to be completed in the first </w:t>
            </w:r>
            <w:r w:rsidRPr="002904EF">
              <w:rPr>
                <w:rFonts w:eastAsiaTheme="minorHAnsi"/>
                <w:b/>
                <w:sz w:val="22"/>
                <w:szCs w:val="22"/>
              </w:rPr>
              <w:t>six</w:t>
            </w:r>
            <w:r>
              <w:rPr>
                <w:rFonts w:eastAsiaTheme="minorHAnsi"/>
                <w:sz w:val="22"/>
                <w:szCs w:val="22"/>
              </w:rPr>
              <w:t xml:space="preserve"> months). </w:t>
            </w:r>
            <w:r w:rsidRPr="00590AEC">
              <w:rPr>
                <w:rFonts w:eastAsiaTheme="minorHAnsi"/>
                <w:sz w:val="22"/>
                <w:szCs w:val="22"/>
              </w:rPr>
              <w:t>Check arrangements</w:t>
            </w:r>
            <w:r>
              <w:rPr>
                <w:rFonts w:eastAsiaTheme="minorHAnsi"/>
                <w:sz w:val="22"/>
                <w:szCs w:val="22"/>
              </w:rPr>
              <w:t>/discuss attendance of</w:t>
            </w:r>
            <w:r w:rsidRPr="00590AEC">
              <w:rPr>
                <w:rFonts w:eastAsiaTheme="minorHAnsi"/>
                <w:sz w:val="22"/>
                <w:szCs w:val="22"/>
              </w:rPr>
              <w:t xml:space="preserve"> Core Children Protection 2 and 3 </w:t>
            </w:r>
            <w:r>
              <w:rPr>
                <w:rFonts w:eastAsiaTheme="minorHAnsi"/>
                <w:sz w:val="22"/>
                <w:szCs w:val="22"/>
              </w:rPr>
              <w:t xml:space="preserve">training </w:t>
            </w:r>
            <w:r w:rsidRPr="00590AEC">
              <w:rPr>
                <w:rFonts w:eastAsiaTheme="minorHAnsi"/>
                <w:sz w:val="22"/>
                <w:szCs w:val="22"/>
              </w:rPr>
              <w:t>modules, where relevant.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Pr="00E415A2" w:rsidRDefault="00DA1A29" w:rsidP="00B1569B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>
              <w:rPr>
                <w:color w:val="FFFFFF"/>
                <w:sz w:val="40"/>
                <w:szCs w:val="40"/>
              </w:rPr>
              <w:br/>
            </w:r>
            <w:r>
              <w:rPr>
                <w:color w:val="FFFFFF"/>
                <w:sz w:val="40"/>
                <w:szCs w:val="40"/>
              </w:rPr>
              <w:br/>
            </w:r>
            <w:r>
              <w:rPr>
                <w:color w:val="FFFFFF"/>
                <w:sz w:val="40"/>
                <w:szCs w:val="40"/>
              </w:rPr>
              <w:br/>
            </w: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8C1088" w:rsidRPr="00C572ED" w:rsidRDefault="008C1088" w:rsidP="00411316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</w:p>
          <w:p w:rsidR="008C1088" w:rsidRPr="00C572ED" w:rsidRDefault="008C1088" w:rsidP="00411316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  <w:r w:rsidRPr="00C572ED">
              <w:rPr>
                <w:rFonts w:ascii="Verdana" w:eastAsiaTheme="minorHAnsi" w:hAnsi="Verdana"/>
                <w:sz w:val="22"/>
                <w:szCs w:val="22"/>
              </w:rPr>
              <w:t xml:space="preserve">Reporting safeguarding concerns: </w:t>
            </w:r>
          </w:p>
          <w:p w:rsidR="00647CDA" w:rsidRDefault="00DA1A29" w:rsidP="008C1088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 w:rsidRPr="008C1088">
              <w:rPr>
                <w:rFonts w:eastAsiaTheme="minorHAnsi"/>
                <w:sz w:val="22"/>
                <w:szCs w:val="22"/>
              </w:rPr>
              <w:t xml:space="preserve">Outline and discuss reporting line structure /escalation process for reporting </w:t>
            </w:r>
            <w:r w:rsidRPr="00CC478D">
              <w:rPr>
                <w:rFonts w:eastAsiaTheme="minorHAnsi"/>
                <w:sz w:val="22"/>
                <w:szCs w:val="22"/>
              </w:rPr>
              <w:t>safeguarding concerns</w:t>
            </w:r>
            <w:r w:rsidR="00CC478D">
              <w:rPr>
                <w:rFonts w:eastAsiaTheme="minorHAnsi"/>
                <w:sz w:val="22"/>
                <w:szCs w:val="22"/>
              </w:rPr>
              <w:t xml:space="preserve"> </w:t>
            </w:r>
            <w:r w:rsidR="000A4F62">
              <w:rPr>
                <w:rFonts w:eastAsiaTheme="minorHAnsi"/>
                <w:sz w:val="22"/>
                <w:szCs w:val="22"/>
              </w:rPr>
              <w:t xml:space="preserve">as per </w:t>
            </w:r>
            <w:r w:rsidR="000A4F62" w:rsidRPr="002A5283">
              <w:rPr>
                <w:rFonts w:eastAsiaTheme="minorHAnsi"/>
                <w:sz w:val="22"/>
                <w:szCs w:val="22"/>
              </w:rPr>
              <w:t>Safeguarding and Protecting Children’s Policy and Procedure, Safeguarding and Protecting Children – Adults at risk Policy and Procedure</w:t>
            </w:r>
            <w:r w:rsidR="000A4F62">
              <w:rPr>
                <w:rFonts w:eastAsiaTheme="minorHAnsi"/>
                <w:sz w:val="22"/>
                <w:szCs w:val="22"/>
              </w:rPr>
              <w:t xml:space="preserve"> (Non Children’s Services)</w:t>
            </w:r>
            <w:r w:rsidR="00B1569B" w:rsidRPr="00CC478D">
              <w:rPr>
                <w:rFonts w:eastAsiaTheme="minorHAnsi"/>
                <w:sz w:val="22"/>
                <w:szCs w:val="22"/>
              </w:rPr>
              <w:t>.</w:t>
            </w:r>
          </w:p>
          <w:p w:rsidR="00F7378F" w:rsidRDefault="00647CDA" w:rsidP="00F7378F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</w:t>
            </w:r>
            <w:r w:rsidR="00411316" w:rsidRPr="008C1088">
              <w:rPr>
                <w:rFonts w:eastAsiaTheme="minorHAnsi"/>
                <w:sz w:val="22"/>
                <w:szCs w:val="22"/>
              </w:rPr>
              <w:t xml:space="preserve">otify staff member/volunteer </w:t>
            </w:r>
            <w:r w:rsidR="00DA1A29" w:rsidRPr="008C1088">
              <w:rPr>
                <w:rFonts w:eastAsiaTheme="minorHAnsi"/>
                <w:sz w:val="22"/>
                <w:szCs w:val="22"/>
              </w:rPr>
              <w:t>of key roles</w:t>
            </w:r>
            <w:r w:rsidR="00E41FDE">
              <w:rPr>
                <w:rFonts w:eastAsiaTheme="minorHAnsi"/>
                <w:sz w:val="22"/>
                <w:szCs w:val="22"/>
              </w:rPr>
              <w:t>, region</w:t>
            </w:r>
            <w:r w:rsidR="00DA1A29" w:rsidRPr="008C1088">
              <w:rPr>
                <w:rFonts w:eastAsiaTheme="minorHAnsi"/>
                <w:sz w:val="22"/>
                <w:szCs w:val="22"/>
              </w:rPr>
              <w:t>/</w:t>
            </w:r>
            <w:r w:rsidR="00E41FDE">
              <w:rPr>
                <w:rFonts w:eastAsiaTheme="minorHAnsi"/>
                <w:sz w:val="22"/>
                <w:szCs w:val="22"/>
              </w:rPr>
              <w:t xml:space="preserve">nation </w:t>
            </w:r>
            <w:r w:rsidR="00DA1A29" w:rsidRPr="008C1088">
              <w:rPr>
                <w:rFonts w:eastAsiaTheme="minorHAnsi"/>
                <w:sz w:val="22"/>
                <w:szCs w:val="22"/>
              </w:rPr>
              <w:t xml:space="preserve">contacts within Barnardo’s e.g. </w:t>
            </w:r>
            <w:r w:rsidR="00132073" w:rsidRPr="008C1088">
              <w:rPr>
                <w:rFonts w:eastAsiaTheme="minorHAnsi"/>
                <w:sz w:val="22"/>
                <w:szCs w:val="22"/>
              </w:rPr>
              <w:t xml:space="preserve">Corporate Director Children’s Services (England) </w:t>
            </w:r>
            <w:r w:rsidR="004D4699" w:rsidRPr="008C1088">
              <w:rPr>
                <w:rFonts w:eastAsiaTheme="minorHAnsi"/>
                <w:sz w:val="22"/>
                <w:szCs w:val="22"/>
              </w:rPr>
              <w:t>(</w:t>
            </w:r>
            <w:r w:rsidR="00132073" w:rsidRPr="008C1088">
              <w:rPr>
                <w:rFonts w:eastAsiaTheme="minorHAnsi"/>
                <w:sz w:val="22"/>
                <w:szCs w:val="22"/>
              </w:rPr>
              <w:t>who is also the lead officer for Safeguarding</w:t>
            </w:r>
            <w:r w:rsidR="004D4699" w:rsidRPr="008C1088">
              <w:rPr>
                <w:rFonts w:eastAsiaTheme="minorHAnsi"/>
                <w:sz w:val="22"/>
                <w:szCs w:val="22"/>
              </w:rPr>
              <w:t>)</w:t>
            </w:r>
            <w:r w:rsidR="00132073" w:rsidRPr="008C1088">
              <w:rPr>
                <w:rFonts w:ascii="Calibri" w:hAnsi="Calibri" w:cs="Tahoma"/>
                <w:color w:val="333333"/>
              </w:rPr>
              <w:t xml:space="preserve">, </w:t>
            </w:r>
            <w:r w:rsidR="00DA1A29" w:rsidRPr="008C1088">
              <w:rPr>
                <w:rFonts w:eastAsiaTheme="minorHAnsi"/>
                <w:sz w:val="22"/>
                <w:szCs w:val="22"/>
              </w:rPr>
              <w:t xml:space="preserve">Head of Corporate Safeguarding, Region/Nation </w:t>
            </w:r>
            <w:r w:rsidR="00067B9E">
              <w:rPr>
                <w:rFonts w:eastAsiaTheme="minorHAnsi"/>
                <w:sz w:val="22"/>
                <w:szCs w:val="22"/>
              </w:rPr>
              <w:t>Safeguarding Leads/</w:t>
            </w:r>
            <w:r w:rsidR="00DA1A29" w:rsidRPr="008C1088">
              <w:rPr>
                <w:rFonts w:eastAsiaTheme="minorHAnsi"/>
                <w:sz w:val="22"/>
                <w:szCs w:val="22"/>
              </w:rPr>
              <w:t xml:space="preserve"> Family Placement, Employment, Skills and Training leads</w:t>
            </w:r>
            <w:r w:rsidR="00132073" w:rsidRPr="008C1088">
              <w:rPr>
                <w:rFonts w:eastAsiaTheme="minorHAnsi"/>
                <w:sz w:val="22"/>
                <w:szCs w:val="22"/>
              </w:rPr>
              <w:t>, as appropriate</w:t>
            </w:r>
            <w:r w:rsidR="00DA1A29" w:rsidRPr="008C1088">
              <w:rPr>
                <w:rFonts w:eastAsiaTheme="minorHAnsi"/>
                <w:sz w:val="22"/>
                <w:szCs w:val="22"/>
              </w:rPr>
              <w:t>)</w:t>
            </w:r>
            <w:r w:rsidR="00553166">
              <w:rPr>
                <w:rFonts w:eastAsiaTheme="minorHAnsi"/>
                <w:sz w:val="22"/>
                <w:szCs w:val="22"/>
              </w:rPr>
              <w:t xml:space="preserve"> etc.</w:t>
            </w:r>
            <w:r w:rsidR="00E41FDE">
              <w:rPr>
                <w:rFonts w:eastAsiaTheme="minorHAnsi"/>
                <w:sz w:val="22"/>
                <w:szCs w:val="22"/>
              </w:rPr>
              <w:t xml:space="preserve"> </w:t>
            </w:r>
            <w:r w:rsidR="00D7746A">
              <w:rPr>
                <w:rFonts w:eastAsiaTheme="minorHAnsi"/>
                <w:sz w:val="22"/>
                <w:szCs w:val="22"/>
              </w:rPr>
              <w:t xml:space="preserve">Staff/volunteers need to be </w:t>
            </w:r>
            <w:r w:rsidR="000A4F62">
              <w:rPr>
                <w:rFonts w:eastAsiaTheme="minorHAnsi"/>
                <w:sz w:val="22"/>
                <w:szCs w:val="22"/>
              </w:rPr>
              <w:t>clear who t</w:t>
            </w:r>
            <w:r w:rsidR="00D7746A">
              <w:rPr>
                <w:rFonts w:eastAsiaTheme="minorHAnsi"/>
                <w:sz w:val="22"/>
                <w:szCs w:val="22"/>
              </w:rPr>
              <w:t xml:space="preserve">o contact during </w:t>
            </w:r>
            <w:r w:rsidR="00E41FDE">
              <w:rPr>
                <w:rFonts w:eastAsiaTheme="minorHAnsi"/>
                <w:sz w:val="22"/>
                <w:szCs w:val="22"/>
              </w:rPr>
              <w:t>normal business hours, including weekends/public holidays</w:t>
            </w:r>
            <w:r w:rsidR="008F555F">
              <w:rPr>
                <w:rFonts w:eastAsiaTheme="minorHAnsi"/>
                <w:sz w:val="22"/>
                <w:szCs w:val="22"/>
              </w:rPr>
              <w:t>,</w:t>
            </w:r>
            <w:r w:rsidR="00E41FDE">
              <w:rPr>
                <w:rFonts w:eastAsiaTheme="minorHAnsi"/>
                <w:sz w:val="22"/>
                <w:szCs w:val="22"/>
              </w:rPr>
              <w:t xml:space="preserve"> if these form part of normal business hours. </w:t>
            </w:r>
          </w:p>
          <w:p w:rsidR="00067B9E" w:rsidRDefault="00067B9E" w:rsidP="00067B9E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Direct staff member/volunteer to Safeguarding Hub which provides additional guidance for region/nation/business line areas. </w:t>
            </w:r>
          </w:p>
          <w:p w:rsidR="00DF543C" w:rsidRPr="00067B9E" w:rsidRDefault="00DF543C" w:rsidP="00DF543C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Ensure the individual understands their responsibilities to ensure a ‘safe’ working environment. 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CC0E74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 w:rsidR="00CC0E74">
              <w:rPr>
                <w:color w:val="FFFFFF"/>
                <w:sz w:val="40"/>
                <w:szCs w:val="40"/>
              </w:rPr>
              <w:br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>
              <w:rPr>
                <w:color w:val="FFFFFF"/>
                <w:sz w:val="40"/>
                <w:szCs w:val="40"/>
              </w:rPr>
              <w:br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Pr="00E415A2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2A5283" w:rsidRDefault="002A5283" w:rsidP="00AA1979">
            <w:pPr>
              <w:spacing w:before="60" w:after="40"/>
              <w:rPr>
                <w:rFonts w:eastAsiaTheme="minorHAnsi"/>
                <w:sz w:val="22"/>
                <w:szCs w:val="22"/>
              </w:rPr>
            </w:pPr>
          </w:p>
          <w:p w:rsidR="00AA1979" w:rsidRPr="00514D94" w:rsidRDefault="00DA1A29" w:rsidP="00AA1979">
            <w:pPr>
              <w:spacing w:before="60" w:after="40"/>
              <w:rPr>
                <w:rFonts w:ascii="Verdana" w:eastAsiaTheme="minorHAnsi" w:hAnsi="Verdana"/>
                <w:sz w:val="22"/>
                <w:szCs w:val="22"/>
              </w:rPr>
            </w:pPr>
            <w:r w:rsidRPr="00514D94">
              <w:rPr>
                <w:rFonts w:eastAsiaTheme="minorHAnsi"/>
                <w:sz w:val="22"/>
                <w:szCs w:val="22"/>
              </w:rPr>
              <w:t>W</w:t>
            </w:r>
            <w:r w:rsidRPr="00514D94">
              <w:rPr>
                <w:rFonts w:ascii="Verdana" w:eastAsiaTheme="minorHAnsi" w:hAnsi="Verdana"/>
                <w:sz w:val="22"/>
                <w:szCs w:val="22"/>
              </w:rPr>
              <w:t>histleblowing Policy and Procedure</w:t>
            </w:r>
            <w:r w:rsidR="00AA1979" w:rsidRPr="00514D94">
              <w:rPr>
                <w:rFonts w:ascii="Verdana" w:eastAsiaTheme="minorHAnsi" w:hAnsi="Verdana"/>
                <w:sz w:val="22"/>
                <w:szCs w:val="22"/>
              </w:rPr>
              <w:t>:</w:t>
            </w:r>
          </w:p>
          <w:p w:rsidR="00514D94" w:rsidRPr="00514D94" w:rsidRDefault="00AA1979" w:rsidP="00514D94">
            <w:pPr>
              <w:pStyle w:val="ListParagraph"/>
              <w:numPr>
                <w:ilvl w:val="0"/>
                <w:numId w:val="5"/>
              </w:numPr>
              <w:spacing w:before="60" w:after="40"/>
              <w:rPr>
                <w:rFonts w:eastAsiaTheme="minorHAnsi"/>
                <w:sz w:val="22"/>
                <w:szCs w:val="22"/>
              </w:rPr>
            </w:pPr>
            <w:r w:rsidRPr="00514D94">
              <w:rPr>
                <w:rFonts w:eastAsiaTheme="minorHAnsi"/>
                <w:sz w:val="22"/>
                <w:szCs w:val="22"/>
              </w:rPr>
              <w:lastRenderedPageBreak/>
              <w:t>E</w:t>
            </w:r>
            <w:r w:rsidR="00D65E52">
              <w:rPr>
                <w:rFonts w:eastAsiaTheme="minorHAnsi"/>
                <w:sz w:val="22"/>
                <w:szCs w:val="22"/>
              </w:rPr>
              <w:t xml:space="preserve">xplain to new starter that in the first instance </w:t>
            </w:r>
            <w:r w:rsidR="001B2289">
              <w:rPr>
                <w:rFonts w:eastAsiaTheme="minorHAnsi"/>
                <w:sz w:val="22"/>
                <w:szCs w:val="22"/>
              </w:rPr>
              <w:t xml:space="preserve">any </w:t>
            </w:r>
            <w:r w:rsidR="00D65E52">
              <w:rPr>
                <w:rFonts w:eastAsiaTheme="minorHAnsi"/>
                <w:sz w:val="22"/>
                <w:szCs w:val="22"/>
              </w:rPr>
              <w:t xml:space="preserve">concerns </w:t>
            </w:r>
            <w:r w:rsidR="001B2289">
              <w:rPr>
                <w:rFonts w:eastAsiaTheme="minorHAnsi"/>
                <w:sz w:val="22"/>
                <w:szCs w:val="22"/>
              </w:rPr>
              <w:t xml:space="preserve">about safeguarding or misconduct </w:t>
            </w:r>
            <w:r w:rsidR="00D65E52">
              <w:rPr>
                <w:rFonts w:eastAsiaTheme="minorHAnsi"/>
                <w:sz w:val="22"/>
                <w:szCs w:val="22"/>
              </w:rPr>
              <w:t xml:space="preserve">should be reported to their line </w:t>
            </w:r>
            <w:r w:rsidRPr="00514D94">
              <w:rPr>
                <w:rFonts w:eastAsiaTheme="minorHAnsi"/>
                <w:sz w:val="22"/>
                <w:szCs w:val="22"/>
              </w:rPr>
              <w:t>manager or main Barnardo’</w:t>
            </w:r>
            <w:r w:rsidR="00553166">
              <w:rPr>
                <w:rFonts w:eastAsiaTheme="minorHAnsi"/>
                <w:sz w:val="22"/>
                <w:szCs w:val="22"/>
              </w:rPr>
              <w:t xml:space="preserve">s contact </w:t>
            </w:r>
            <w:r w:rsidR="00D65E52">
              <w:rPr>
                <w:rFonts w:eastAsiaTheme="minorHAnsi"/>
                <w:sz w:val="22"/>
                <w:szCs w:val="22"/>
              </w:rPr>
              <w:t xml:space="preserve">e.g. in </w:t>
            </w:r>
            <w:r w:rsidR="005D446D" w:rsidRPr="00D65E52">
              <w:rPr>
                <w:rFonts w:eastAsiaTheme="minorHAnsi"/>
                <w:sz w:val="22"/>
                <w:szCs w:val="22"/>
              </w:rPr>
              <w:t>retail</w:t>
            </w:r>
            <w:r w:rsidR="005D446D" w:rsidRPr="005D446D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5D446D" w:rsidRPr="00D65E52">
              <w:rPr>
                <w:rFonts w:eastAsiaTheme="minorHAnsi"/>
                <w:sz w:val="22"/>
                <w:szCs w:val="22"/>
              </w:rPr>
              <w:t>this could be, Store Manager/Area Manager/Regional Manager.</w:t>
            </w:r>
            <w:r w:rsidR="005D446D" w:rsidRPr="00D65E52">
              <w:rPr>
                <w:rFonts w:eastAsiaTheme="minorHAnsi"/>
                <w:sz w:val="22"/>
                <w:szCs w:val="22"/>
              </w:rPr>
              <w:br/>
            </w:r>
          </w:p>
          <w:p w:rsidR="00AA1979" w:rsidRPr="00514D94" w:rsidRDefault="00AA1979" w:rsidP="00D65E52">
            <w:pPr>
              <w:pStyle w:val="ListParagraph"/>
              <w:numPr>
                <w:ilvl w:val="0"/>
                <w:numId w:val="5"/>
              </w:numPr>
              <w:spacing w:before="60" w:after="40"/>
              <w:rPr>
                <w:rFonts w:eastAsiaTheme="minorHAnsi"/>
                <w:sz w:val="22"/>
                <w:szCs w:val="22"/>
              </w:rPr>
            </w:pPr>
            <w:r w:rsidRPr="00514D94">
              <w:rPr>
                <w:rFonts w:eastAsiaTheme="minorHAnsi"/>
                <w:sz w:val="22"/>
                <w:szCs w:val="22"/>
              </w:rPr>
              <w:t>If however the</w:t>
            </w:r>
            <w:r w:rsidR="00D65E52">
              <w:rPr>
                <w:rFonts w:eastAsiaTheme="minorHAnsi"/>
                <w:sz w:val="22"/>
                <w:szCs w:val="22"/>
              </w:rPr>
              <w:t xml:space="preserve">y </w:t>
            </w:r>
            <w:r w:rsidRPr="00514D94">
              <w:rPr>
                <w:rFonts w:eastAsiaTheme="minorHAnsi"/>
                <w:sz w:val="22"/>
                <w:szCs w:val="22"/>
              </w:rPr>
              <w:t>feel</w:t>
            </w:r>
            <w:r w:rsidR="00D65E52">
              <w:rPr>
                <w:rFonts w:eastAsiaTheme="minorHAnsi"/>
                <w:sz w:val="22"/>
                <w:szCs w:val="22"/>
              </w:rPr>
              <w:t xml:space="preserve"> that it can’t be raised through their </w:t>
            </w:r>
            <w:r w:rsidRPr="00514D94">
              <w:rPr>
                <w:rFonts w:eastAsiaTheme="minorHAnsi"/>
                <w:sz w:val="22"/>
                <w:szCs w:val="22"/>
              </w:rPr>
              <w:t xml:space="preserve">line management, the Whistleblowing policy </w:t>
            </w:r>
            <w:r w:rsidR="00DA1A29" w:rsidRPr="00514D94">
              <w:rPr>
                <w:rFonts w:eastAsiaTheme="minorHAnsi"/>
                <w:sz w:val="22"/>
                <w:szCs w:val="22"/>
              </w:rPr>
              <w:t>can be used to report concerns</w:t>
            </w:r>
            <w:r w:rsidRPr="00514D94">
              <w:rPr>
                <w:rFonts w:eastAsiaTheme="minorHAnsi"/>
                <w:sz w:val="22"/>
                <w:szCs w:val="22"/>
              </w:rPr>
              <w:t xml:space="preserve"> </w:t>
            </w:r>
            <w:r w:rsidR="00553166" w:rsidRPr="00514D94">
              <w:rPr>
                <w:rFonts w:eastAsiaTheme="minorHAnsi"/>
                <w:sz w:val="22"/>
                <w:szCs w:val="22"/>
              </w:rPr>
              <w:t>e.g.</w:t>
            </w:r>
            <w:r w:rsidRPr="00514D94">
              <w:rPr>
                <w:rFonts w:eastAsiaTheme="minorHAnsi"/>
                <w:sz w:val="22"/>
                <w:szCs w:val="22"/>
              </w:rPr>
              <w:t xml:space="preserve"> via the whistleblowing hotline run by Barnardo’s independent Corporate Audit and Inspection Unit (CAIU) on 020 8498 7311 or via email: </w:t>
            </w:r>
            <w:hyperlink r:id="rId10" w:history="1">
              <w:r w:rsidR="000A4F62" w:rsidRPr="00054481">
                <w:rPr>
                  <w:rStyle w:val="Hyperlink"/>
                  <w:rFonts w:ascii="Verdana" w:hAnsi="Verdana"/>
                  <w:sz w:val="22"/>
                  <w:szCs w:val="22"/>
                </w:rPr>
                <w:t>whistleblowing@barnardos.org.uk</w:t>
              </w:r>
            </w:hyperlink>
            <w:r w:rsidRPr="00514D94">
              <w:rPr>
                <w:sz w:val="22"/>
                <w:szCs w:val="22"/>
              </w:rPr>
              <w:t>.</w:t>
            </w:r>
            <w:r w:rsidRPr="00514D94">
              <w:t xml:space="preserve">  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lastRenderedPageBreak/>
              <w:sym w:font="Wingdings" w:char="F06E"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CC0E74" w:rsidRPr="00E415A2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2A5283" w:rsidRDefault="002A5283" w:rsidP="00770D55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</w:p>
          <w:p w:rsidR="002A5283" w:rsidRDefault="002A5283" w:rsidP="00770D55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Safeguarding Policies and Procedures:</w:t>
            </w:r>
          </w:p>
          <w:p w:rsidR="002A5283" w:rsidRPr="002A5283" w:rsidRDefault="00DA1A29" w:rsidP="002A5283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cs="Gill Alt One MT"/>
                <w:b/>
                <w:color w:val="000000"/>
                <w:sz w:val="22"/>
                <w:szCs w:val="22"/>
              </w:rPr>
            </w:pPr>
            <w:r w:rsidRPr="002A5283">
              <w:rPr>
                <w:rFonts w:eastAsiaTheme="minorHAnsi"/>
                <w:sz w:val="22"/>
                <w:szCs w:val="22"/>
              </w:rPr>
              <w:t xml:space="preserve">Discuss key </w:t>
            </w:r>
            <w:hyperlink r:id="rId11" w:history="1">
              <w:r w:rsidRPr="002A5283">
                <w:rPr>
                  <w:rFonts w:eastAsiaTheme="minorHAnsi"/>
                  <w:sz w:val="22"/>
                  <w:szCs w:val="22"/>
                </w:rPr>
                <w:t>policies and procedures relating to safeguarding children</w:t>
              </w:r>
            </w:hyperlink>
            <w:r w:rsidRPr="002A5283">
              <w:rPr>
                <w:rFonts w:eastAsiaTheme="minorHAnsi"/>
                <w:sz w:val="22"/>
                <w:szCs w:val="22"/>
              </w:rPr>
              <w:t>/vulnerable adults e.g. Safeguarding and Protecting Children’s Policy and Procedure, Safeguarding and Protecting Children – Adults at risk Policy and Procedure</w:t>
            </w:r>
            <w:r w:rsidR="00553166">
              <w:rPr>
                <w:rFonts w:eastAsiaTheme="minorHAnsi"/>
                <w:sz w:val="22"/>
                <w:szCs w:val="22"/>
              </w:rPr>
              <w:t xml:space="preserve"> (Non Children’s Services)</w:t>
            </w:r>
            <w:r w:rsidRPr="002A5283">
              <w:rPr>
                <w:rFonts w:eastAsiaTheme="minorHAnsi"/>
                <w:sz w:val="22"/>
                <w:szCs w:val="22"/>
              </w:rPr>
              <w:t xml:space="preserve">, including issues relating to professional boundaries and whether there are any aspects of policy that they are unclear on. </w:t>
            </w:r>
          </w:p>
          <w:p w:rsidR="00DA1A29" w:rsidRPr="002A5283" w:rsidRDefault="00DA1A29" w:rsidP="00043B02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cs="Gill Alt One MT"/>
                <w:b/>
                <w:color w:val="000000"/>
                <w:sz w:val="22"/>
                <w:szCs w:val="22"/>
              </w:rPr>
            </w:pPr>
            <w:r w:rsidRPr="002A5283">
              <w:rPr>
                <w:rFonts w:eastAsiaTheme="minorHAnsi"/>
                <w:sz w:val="22"/>
                <w:szCs w:val="22"/>
              </w:rPr>
              <w:t>Ensure that the staff member knows how/where to access these polic</w:t>
            </w:r>
            <w:r w:rsidR="00043B02">
              <w:rPr>
                <w:rFonts w:eastAsiaTheme="minorHAnsi"/>
                <w:sz w:val="22"/>
                <w:szCs w:val="22"/>
              </w:rPr>
              <w:t>ies e.g. Safeguarding H</w:t>
            </w:r>
            <w:r w:rsidRPr="002A5283">
              <w:rPr>
                <w:rFonts w:eastAsiaTheme="minorHAnsi"/>
                <w:sz w:val="22"/>
                <w:szCs w:val="22"/>
              </w:rPr>
              <w:t xml:space="preserve">ub. 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CC0E74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  <w:r w:rsidR="00CC0E74">
              <w:rPr>
                <w:color w:val="FFFFFF"/>
                <w:sz w:val="40"/>
                <w:szCs w:val="40"/>
              </w:rPr>
              <w:br/>
            </w:r>
          </w:p>
          <w:p w:rsidR="00CC0E74" w:rsidRDefault="00CC0E74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</w:p>
          <w:p w:rsidR="00DA1A29" w:rsidRPr="00E415A2" w:rsidRDefault="00CC0E74" w:rsidP="00770D55">
            <w:pPr>
              <w:spacing w:after="160"/>
              <w:jc w:val="center"/>
              <w:rPr>
                <w:color w:val="808080"/>
                <w:sz w:val="32"/>
                <w:szCs w:val="32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DA0B48" w:rsidRDefault="00DA0B48" w:rsidP="002A5283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</w:p>
          <w:p w:rsidR="002A5283" w:rsidRDefault="00DA1A29" w:rsidP="002A5283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For relevant manager roles</w:t>
            </w:r>
            <w:r w:rsidR="002A5283">
              <w:rPr>
                <w:rFonts w:ascii="Verdana" w:eastAsiaTheme="minorHAnsi" w:hAnsi="Verdana"/>
                <w:sz w:val="22"/>
                <w:szCs w:val="22"/>
              </w:rPr>
              <w:t xml:space="preserve"> only:</w:t>
            </w:r>
          </w:p>
          <w:p w:rsidR="00DA1A29" w:rsidRPr="002A5283" w:rsidRDefault="002A5283" w:rsidP="000A4F62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G</w:t>
            </w:r>
            <w:r w:rsidR="00DA1A29" w:rsidRPr="002A5283">
              <w:rPr>
                <w:rFonts w:eastAsiaTheme="minorHAnsi"/>
                <w:sz w:val="22"/>
                <w:szCs w:val="22"/>
              </w:rPr>
              <w:t>o over in detail safeguarding reporting requirements and procedures, including guidance and logging forms – ensure the staff member knows where/how to access these e.g. S</w:t>
            </w:r>
            <w:r w:rsidR="00043B02">
              <w:rPr>
                <w:rFonts w:eastAsiaTheme="minorHAnsi"/>
                <w:sz w:val="22"/>
                <w:szCs w:val="22"/>
              </w:rPr>
              <w:t>afeguarding H</w:t>
            </w:r>
            <w:r w:rsidR="00DA1A29" w:rsidRPr="002A5283">
              <w:rPr>
                <w:rFonts w:eastAsiaTheme="minorHAnsi"/>
                <w:sz w:val="22"/>
                <w:szCs w:val="22"/>
              </w:rPr>
              <w:t>ub.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DA1A29" w:rsidRPr="00E415A2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  <w:tr w:rsidR="00DA1A29" w:rsidRPr="00E415A2" w:rsidTr="00770D55">
        <w:tc>
          <w:tcPr>
            <w:tcW w:w="7905" w:type="dxa"/>
            <w:shd w:val="clear" w:color="auto" w:fill="auto"/>
          </w:tcPr>
          <w:p w:rsidR="00DA1A29" w:rsidRDefault="00DA1A29" w:rsidP="00770D55">
            <w:pPr>
              <w:spacing w:after="1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 xml:space="preserve">Check whether any further information/clarification on any aspect related to safeguarding would be helpful? </w:t>
            </w:r>
          </w:p>
        </w:tc>
        <w:tc>
          <w:tcPr>
            <w:tcW w:w="1842" w:type="dxa"/>
            <w:gridSpan w:val="2"/>
            <w:shd w:val="clear" w:color="auto" w:fill="8DC63F"/>
            <w:vAlign w:val="center"/>
          </w:tcPr>
          <w:p w:rsidR="00DA1A29" w:rsidRPr="00E415A2" w:rsidRDefault="00DA1A29" w:rsidP="00770D55">
            <w:pPr>
              <w:spacing w:after="160"/>
              <w:jc w:val="center"/>
              <w:rPr>
                <w:color w:val="FFFFFF"/>
                <w:sz w:val="40"/>
                <w:szCs w:val="40"/>
              </w:rPr>
            </w:pPr>
            <w:r w:rsidRPr="00E415A2">
              <w:rPr>
                <w:color w:val="FFFFFF"/>
                <w:sz w:val="40"/>
                <w:szCs w:val="40"/>
              </w:rPr>
              <w:sym w:font="Wingdings" w:char="F06E"/>
            </w:r>
          </w:p>
        </w:tc>
      </w:tr>
    </w:tbl>
    <w:p w:rsidR="00DA1A29" w:rsidRDefault="00DA1A29" w:rsidP="00DA1A29">
      <w:pPr>
        <w:rPr>
          <w:b/>
          <w:color w:val="FF0000"/>
        </w:rPr>
      </w:pPr>
    </w:p>
    <w:p w:rsidR="00DA1A29" w:rsidRDefault="00DA1A29" w:rsidP="00DA1A29">
      <w:pPr>
        <w:rPr>
          <w:b/>
          <w:color w:val="FF0000"/>
        </w:rPr>
      </w:pPr>
    </w:p>
    <w:p w:rsidR="00DA1A29" w:rsidRDefault="00DA1A29" w:rsidP="00DA1A29">
      <w:pPr>
        <w:rPr>
          <w:b/>
          <w:color w:val="FF0000"/>
        </w:rPr>
      </w:pPr>
    </w:p>
    <w:p w:rsidR="00DA1A29" w:rsidRDefault="00DA1A29" w:rsidP="00DA1A29">
      <w:pPr>
        <w:rPr>
          <w:b/>
          <w:color w:val="FF0000"/>
        </w:rPr>
      </w:pPr>
    </w:p>
    <w:p w:rsidR="00DA1A29" w:rsidRDefault="00DA1A29" w:rsidP="00DA1A29">
      <w:pPr>
        <w:rPr>
          <w:b/>
          <w:color w:val="FF0000"/>
        </w:rPr>
      </w:pPr>
    </w:p>
    <w:p w:rsidR="00DA1A29" w:rsidRPr="00A6779D" w:rsidRDefault="00DA1A29">
      <w:pPr>
        <w:rPr>
          <w:b/>
          <w:color w:val="FF0000"/>
        </w:rPr>
      </w:pPr>
    </w:p>
    <w:p w:rsidR="00DC6DD7" w:rsidRDefault="00DC6DD7" w:rsidP="00DF543C"/>
    <w:sectPr w:rsidR="00DC6DD7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67" w:rsidRDefault="001C1667" w:rsidP="000A4F62">
      <w:r>
        <w:separator/>
      </w:r>
    </w:p>
  </w:endnote>
  <w:endnote w:type="continuationSeparator" w:id="0">
    <w:p w:rsidR="001C1667" w:rsidRDefault="001C1667" w:rsidP="000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2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62" w:rsidRDefault="000A4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A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F62" w:rsidRDefault="000A4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67" w:rsidRDefault="001C1667" w:rsidP="000A4F62">
      <w:r>
        <w:separator/>
      </w:r>
    </w:p>
  </w:footnote>
  <w:footnote w:type="continuationSeparator" w:id="0">
    <w:p w:rsidR="001C1667" w:rsidRDefault="001C1667" w:rsidP="000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E2B"/>
    <w:multiLevelType w:val="hybridMultilevel"/>
    <w:tmpl w:val="8974A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8EC"/>
    <w:multiLevelType w:val="hybridMultilevel"/>
    <w:tmpl w:val="E68E7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01F1"/>
    <w:multiLevelType w:val="hybridMultilevel"/>
    <w:tmpl w:val="F7D8BAF4"/>
    <w:lvl w:ilvl="0" w:tplc="B32C1A1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372E"/>
    <w:multiLevelType w:val="hybridMultilevel"/>
    <w:tmpl w:val="77BAB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435DD"/>
    <w:multiLevelType w:val="hybridMultilevel"/>
    <w:tmpl w:val="2E5494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478A"/>
    <w:multiLevelType w:val="hybridMultilevel"/>
    <w:tmpl w:val="37C04E22"/>
    <w:lvl w:ilvl="0" w:tplc="F6FA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DBA87544">
      <w:start w:val="2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80294D"/>
    <w:multiLevelType w:val="hybridMultilevel"/>
    <w:tmpl w:val="392E0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66CA5"/>
    <w:multiLevelType w:val="hybridMultilevel"/>
    <w:tmpl w:val="8BB2A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1641D"/>
    <w:multiLevelType w:val="hybridMultilevel"/>
    <w:tmpl w:val="CE9CBC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5CE5"/>
    <w:multiLevelType w:val="hybridMultilevel"/>
    <w:tmpl w:val="91D87D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CC"/>
    <w:rsid w:val="00015CBF"/>
    <w:rsid w:val="0003287F"/>
    <w:rsid w:val="00043B02"/>
    <w:rsid w:val="000463B7"/>
    <w:rsid w:val="00067B9E"/>
    <w:rsid w:val="000A4F62"/>
    <w:rsid w:val="00132073"/>
    <w:rsid w:val="0014129A"/>
    <w:rsid w:val="00155D9B"/>
    <w:rsid w:val="0017463B"/>
    <w:rsid w:val="001A26B7"/>
    <w:rsid w:val="001B2289"/>
    <w:rsid w:val="001C1667"/>
    <w:rsid w:val="001C202B"/>
    <w:rsid w:val="001F2505"/>
    <w:rsid w:val="001F4D03"/>
    <w:rsid w:val="002023DF"/>
    <w:rsid w:val="00235DE5"/>
    <w:rsid w:val="002851CC"/>
    <w:rsid w:val="002904EF"/>
    <w:rsid w:val="002919EA"/>
    <w:rsid w:val="00293315"/>
    <w:rsid w:val="002A5283"/>
    <w:rsid w:val="002D3507"/>
    <w:rsid w:val="002F2A71"/>
    <w:rsid w:val="003239E9"/>
    <w:rsid w:val="003A1C9D"/>
    <w:rsid w:val="003C4EE5"/>
    <w:rsid w:val="003E0A9E"/>
    <w:rsid w:val="003F54B9"/>
    <w:rsid w:val="00411316"/>
    <w:rsid w:val="00437959"/>
    <w:rsid w:val="004431E0"/>
    <w:rsid w:val="00461586"/>
    <w:rsid w:val="00475420"/>
    <w:rsid w:val="00490048"/>
    <w:rsid w:val="004A65CB"/>
    <w:rsid w:val="004B2328"/>
    <w:rsid w:val="004D130C"/>
    <w:rsid w:val="004D456C"/>
    <w:rsid w:val="004D4699"/>
    <w:rsid w:val="004F7240"/>
    <w:rsid w:val="005065CE"/>
    <w:rsid w:val="00514892"/>
    <w:rsid w:val="00514D94"/>
    <w:rsid w:val="00553166"/>
    <w:rsid w:val="005750F7"/>
    <w:rsid w:val="00590AEC"/>
    <w:rsid w:val="00596137"/>
    <w:rsid w:val="005B048D"/>
    <w:rsid w:val="005D2279"/>
    <w:rsid w:val="005D446D"/>
    <w:rsid w:val="005E35C2"/>
    <w:rsid w:val="00611D2A"/>
    <w:rsid w:val="00625425"/>
    <w:rsid w:val="006379B8"/>
    <w:rsid w:val="00647CDA"/>
    <w:rsid w:val="006657B1"/>
    <w:rsid w:val="00691690"/>
    <w:rsid w:val="006E6C61"/>
    <w:rsid w:val="006F625F"/>
    <w:rsid w:val="00723D55"/>
    <w:rsid w:val="00726D01"/>
    <w:rsid w:val="00740F13"/>
    <w:rsid w:val="00753409"/>
    <w:rsid w:val="0075397D"/>
    <w:rsid w:val="00787CBE"/>
    <w:rsid w:val="007C61F8"/>
    <w:rsid w:val="007E2EE8"/>
    <w:rsid w:val="007E5B99"/>
    <w:rsid w:val="007F5113"/>
    <w:rsid w:val="0080141F"/>
    <w:rsid w:val="00806F37"/>
    <w:rsid w:val="0081236C"/>
    <w:rsid w:val="00821C09"/>
    <w:rsid w:val="00847CAD"/>
    <w:rsid w:val="0086215A"/>
    <w:rsid w:val="008A1043"/>
    <w:rsid w:val="008C1088"/>
    <w:rsid w:val="008D0A98"/>
    <w:rsid w:val="008D3DC7"/>
    <w:rsid w:val="008F2E8C"/>
    <w:rsid w:val="008F555F"/>
    <w:rsid w:val="00934EC1"/>
    <w:rsid w:val="00945771"/>
    <w:rsid w:val="00971A56"/>
    <w:rsid w:val="00976BC5"/>
    <w:rsid w:val="009A441A"/>
    <w:rsid w:val="00A12704"/>
    <w:rsid w:val="00A336A0"/>
    <w:rsid w:val="00A462A8"/>
    <w:rsid w:val="00A463CC"/>
    <w:rsid w:val="00A55993"/>
    <w:rsid w:val="00A6779D"/>
    <w:rsid w:val="00A863DE"/>
    <w:rsid w:val="00A973D4"/>
    <w:rsid w:val="00AA1979"/>
    <w:rsid w:val="00AE1E72"/>
    <w:rsid w:val="00AE6A42"/>
    <w:rsid w:val="00B13DCE"/>
    <w:rsid w:val="00B1569B"/>
    <w:rsid w:val="00B55746"/>
    <w:rsid w:val="00B845D9"/>
    <w:rsid w:val="00B95CE0"/>
    <w:rsid w:val="00BB4BD4"/>
    <w:rsid w:val="00BB7D03"/>
    <w:rsid w:val="00C005ED"/>
    <w:rsid w:val="00C015CA"/>
    <w:rsid w:val="00C036D6"/>
    <w:rsid w:val="00C2741F"/>
    <w:rsid w:val="00C572ED"/>
    <w:rsid w:val="00C63A24"/>
    <w:rsid w:val="00CA2DED"/>
    <w:rsid w:val="00CA3755"/>
    <w:rsid w:val="00CC0E74"/>
    <w:rsid w:val="00CC478D"/>
    <w:rsid w:val="00D27606"/>
    <w:rsid w:val="00D36834"/>
    <w:rsid w:val="00D65E52"/>
    <w:rsid w:val="00D729DF"/>
    <w:rsid w:val="00D7746A"/>
    <w:rsid w:val="00D925BA"/>
    <w:rsid w:val="00DA0B48"/>
    <w:rsid w:val="00DA1A29"/>
    <w:rsid w:val="00DC6DD7"/>
    <w:rsid w:val="00DD46DC"/>
    <w:rsid w:val="00DF543C"/>
    <w:rsid w:val="00E16BD5"/>
    <w:rsid w:val="00E41FDE"/>
    <w:rsid w:val="00E7315F"/>
    <w:rsid w:val="00EC1B28"/>
    <w:rsid w:val="00ED5159"/>
    <w:rsid w:val="00F50630"/>
    <w:rsid w:val="00F7378F"/>
    <w:rsid w:val="00FB5052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3CC"/>
    <w:rPr>
      <w:rFonts w:ascii="Gill Alt One MT" w:hAnsi="Gill Alt One M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3CC"/>
    <w:rPr>
      <w:rFonts w:ascii="Gill Alt One MT" w:hAnsi="Gill Alt One M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3CC"/>
    <w:pPr>
      <w:ind w:left="720"/>
      <w:contextualSpacing/>
    </w:pPr>
    <w:rPr>
      <w:rFonts w:ascii="Verdana" w:hAnsi="Verdana"/>
      <w:lang w:eastAsia="en-GB"/>
    </w:rPr>
  </w:style>
  <w:style w:type="character" w:styleId="FollowedHyperlink">
    <w:name w:val="FollowedHyperlink"/>
    <w:basedOn w:val="DefaultParagraphFont"/>
    <w:rsid w:val="006F625F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6657B1"/>
    <w:rPr>
      <w:i/>
      <w:iCs/>
    </w:rPr>
  </w:style>
  <w:style w:type="paragraph" w:styleId="Header">
    <w:name w:val="header"/>
    <w:basedOn w:val="Normal"/>
    <w:link w:val="HeaderChar"/>
    <w:rsid w:val="000A4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4F62"/>
    <w:rPr>
      <w:rFonts w:ascii="Gill Alt One MT" w:hAnsi="Gill Alt One MT"/>
      <w:lang w:eastAsia="en-US"/>
    </w:rPr>
  </w:style>
  <w:style w:type="paragraph" w:styleId="Footer">
    <w:name w:val="footer"/>
    <w:basedOn w:val="Normal"/>
    <w:link w:val="FooterChar"/>
    <w:uiPriority w:val="99"/>
    <w:rsid w:val="000A4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62"/>
    <w:rPr>
      <w:rFonts w:ascii="Gill Alt One MT" w:hAnsi="Gill Alt One MT"/>
      <w:lang w:eastAsia="en-US"/>
    </w:rPr>
  </w:style>
  <w:style w:type="paragraph" w:styleId="BalloonText">
    <w:name w:val="Balloon Text"/>
    <w:basedOn w:val="Normal"/>
    <w:link w:val="BalloonTextChar"/>
    <w:rsid w:val="001B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3CC"/>
    <w:rPr>
      <w:rFonts w:ascii="Gill Alt One MT" w:hAnsi="Gill Alt One M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3CC"/>
    <w:rPr>
      <w:rFonts w:ascii="Gill Alt One MT" w:hAnsi="Gill Alt One M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3CC"/>
    <w:pPr>
      <w:ind w:left="720"/>
      <w:contextualSpacing/>
    </w:pPr>
    <w:rPr>
      <w:rFonts w:ascii="Verdana" w:hAnsi="Verdana"/>
      <w:lang w:eastAsia="en-GB"/>
    </w:rPr>
  </w:style>
  <w:style w:type="character" w:styleId="FollowedHyperlink">
    <w:name w:val="FollowedHyperlink"/>
    <w:basedOn w:val="DefaultParagraphFont"/>
    <w:rsid w:val="006F625F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6657B1"/>
    <w:rPr>
      <w:i/>
      <w:iCs/>
    </w:rPr>
  </w:style>
  <w:style w:type="paragraph" w:styleId="Header">
    <w:name w:val="header"/>
    <w:basedOn w:val="Normal"/>
    <w:link w:val="HeaderChar"/>
    <w:rsid w:val="000A4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4F62"/>
    <w:rPr>
      <w:rFonts w:ascii="Gill Alt One MT" w:hAnsi="Gill Alt One MT"/>
      <w:lang w:eastAsia="en-US"/>
    </w:rPr>
  </w:style>
  <w:style w:type="paragraph" w:styleId="Footer">
    <w:name w:val="footer"/>
    <w:basedOn w:val="Normal"/>
    <w:link w:val="FooterChar"/>
    <w:uiPriority w:val="99"/>
    <w:rsid w:val="000A4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62"/>
    <w:rPr>
      <w:rFonts w:ascii="Gill Alt One MT" w:hAnsi="Gill Alt One MT"/>
      <w:lang w:eastAsia="en-US"/>
    </w:rPr>
  </w:style>
  <w:style w:type="paragraph" w:styleId="BalloonText">
    <w:name w:val="Balloon Text"/>
    <w:basedOn w:val="Normal"/>
    <w:link w:val="BalloonTextChar"/>
    <w:rsid w:val="001B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-hive.barnardos.org.uk/Interact/Pages/Content/Document.aspx?id=323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histleblowing@barnardo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nardos.org.uk/induction/induction-information-for-manage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30BE-F8CF-4535-A7C5-8A056C2F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4780</Characters>
  <Application>Microsoft Office Word</Application>
  <DocSecurity>0</DocSecurity>
  <Lines>170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Nuttall</dc:creator>
  <cp:lastModifiedBy>Joanne Dyne</cp:lastModifiedBy>
  <cp:revision>2</cp:revision>
  <cp:lastPrinted>2018-05-01T15:42:00Z</cp:lastPrinted>
  <dcterms:created xsi:type="dcterms:W3CDTF">2018-06-12T15:37:00Z</dcterms:created>
  <dcterms:modified xsi:type="dcterms:W3CDTF">2018-06-12T15:37:00Z</dcterms:modified>
</cp:coreProperties>
</file>