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2457B" w14:textId="77777777" w:rsidR="00332DF1" w:rsidRDefault="00332DF1" w:rsidP="0081020E">
      <w:pPr>
        <w:tabs>
          <w:tab w:val="right" w:pos="5103"/>
        </w:tabs>
        <w:spacing w:before="240" w:line="520" w:lineRule="exact"/>
        <w:ind w:left="720" w:right="-142" w:firstLine="720"/>
        <w:jc w:val="right"/>
        <w:rPr>
          <w:sz w:val="52"/>
          <w:szCs w:val="52"/>
        </w:rPr>
      </w:pPr>
    </w:p>
    <w:p w14:paraId="5EC7A607" w14:textId="78ACFC90" w:rsidR="00931A48" w:rsidRDefault="00EA7C19" w:rsidP="00931A48">
      <w:pPr>
        <w:pStyle w:val="Title"/>
        <w:jc w:val="right"/>
        <w:rPr>
          <w:rFonts w:ascii="Aptos" w:hAnsi="Aptos"/>
          <w:b w:val="0"/>
        </w:rPr>
      </w:pPr>
      <w:r>
        <w:rPr>
          <w:noProof/>
        </w:rPr>
        <w:drawing>
          <wp:inline distT="0" distB="0" distL="0" distR="0" wp14:anchorId="0952012A" wp14:editId="385D91BE">
            <wp:extent cx="180022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762000"/>
                    </a:xfrm>
                    <a:prstGeom prst="rect">
                      <a:avLst/>
                    </a:prstGeom>
                    <a:noFill/>
                    <a:ln>
                      <a:noFill/>
                    </a:ln>
                  </pic:spPr>
                </pic:pic>
              </a:graphicData>
            </a:graphic>
          </wp:inline>
        </w:drawing>
      </w:r>
    </w:p>
    <w:p w14:paraId="39DB2EC1" w14:textId="1899C92E" w:rsidR="00FC1B27" w:rsidRPr="00FC1B27" w:rsidRDefault="00FC1B27" w:rsidP="00FC1B27">
      <w:pPr>
        <w:pStyle w:val="Title"/>
        <w:jc w:val="left"/>
        <w:rPr>
          <w:rFonts w:ascii="Aptos" w:hAnsi="Aptos"/>
          <w:b w:val="0"/>
        </w:rPr>
      </w:pPr>
      <w:r w:rsidRPr="00FC1B27">
        <w:rPr>
          <w:rFonts w:ascii="Aptos" w:hAnsi="Aptos"/>
          <w:b w:val="0"/>
        </w:rPr>
        <w:t>Secondment Policy &amp; Procedure</w:t>
      </w:r>
    </w:p>
    <w:p w14:paraId="2EA2521B" w14:textId="165E471F" w:rsidR="00730511" w:rsidRPr="00FC1B27" w:rsidRDefault="00730511" w:rsidP="00FC1B27">
      <w:pPr>
        <w:tabs>
          <w:tab w:val="right" w:pos="5103"/>
        </w:tabs>
        <w:spacing w:before="240" w:line="520" w:lineRule="exact"/>
        <w:ind w:right="-142"/>
        <w:rPr>
          <w:rFonts w:ascii="Aptos" w:hAnsi="Aptos"/>
          <w:sz w:val="52"/>
          <w:szCs w:val="52"/>
        </w:rPr>
        <w:sectPr w:rsidR="00730511" w:rsidRPr="00FC1B27" w:rsidSect="001E1DF2">
          <w:headerReference w:type="even" r:id="rId12"/>
          <w:headerReference w:type="default" r:id="rId13"/>
          <w:footerReference w:type="even" r:id="rId14"/>
          <w:footerReference w:type="first" r:id="rId15"/>
          <w:pgSz w:w="11899" w:h="16838"/>
          <w:pgMar w:top="709" w:right="984" w:bottom="1440" w:left="1418" w:header="426" w:footer="606" w:gutter="0"/>
          <w:cols w:space="708"/>
          <w:titlePg/>
          <w:docGrid w:linePitch="326"/>
        </w:sectPr>
      </w:pPr>
    </w:p>
    <w:p w14:paraId="24349CB1" w14:textId="77777777" w:rsidR="00730511" w:rsidRPr="00FC1B27" w:rsidRDefault="00300ADE" w:rsidP="00FC1B27">
      <w:pPr>
        <w:rPr>
          <w:rFonts w:ascii="Aptos" w:hAnsi="Aptos"/>
        </w:rPr>
      </w:pPr>
      <w:r w:rsidRPr="00FC1B27">
        <w:rPr>
          <w:rFonts w:ascii="Aptos" w:hAnsi="Aptos"/>
        </w:rPr>
        <w:t>Date:</w:t>
      </w:r>
      <w:r w:rsidR="002329D4" w:rsidRPr="00FC1B27">
        <w:rPr>
          <w:rFonts w:ascii="Aptos" w:hAnsi="Aptos"/>
        </w:rPr>
        <w:t>11</w:t>
      </w:r>
      <w:r w:rsidR="0061407F" w:rsidRPr="00FC1B27">
        <w:rPr>
          <w:rFonts w:ascii="Aptos" w:hAnsi="Aptos"/>
        </w:rPr>
        <w:t>.0</w:t>
      </w:r>
      <w:r w:rsidR="002966CB" w:rsidRPr="00FC1B27">
        <w:rPr>
          <w:rFonts w:ascii="Aptos" w:hAnsi="Aptos"/>
        </w:rPr>
        <w:t>7</w:t>
      </w:r>
      <w:r w:rsidR="0061407F" w:rsidRPr="00FC1B27">
        <w:rPr>
          <w:rFonts w:ascii="Aptos" w:hAnsi="Aptos"/>
        </w:rPr>
        <w:t>.20</w:t>
      </w:r>
      <w:r w:rsidR="009B4C1E" w:rsidRPr="00FC1B27">
        <w:rPr>
          <w:rFonts w:ascii="Aptos" w:hAnsi="Aptos"/>
        </w:rPr>
        <w:t>2</w:t>
      </w:r>
      <w:r w:rsidR="002966CB" w:rsidRPr="00FC1B27">
        <w:rPr>
          <w:rFonts w:ascii="Aptos" w:hAnsi="Aptos"/>
        </w:rPr>
        <w:t>3</w:t>
      </w:r>
      <w:r w:rsidRPr="00FC1B27">
        <w:rPr>
          <w:rFonts w:ascii="Aptos" w:hAnsi="Aptos"/>
        </w:rPr>
        <w:t xml:space="preserve"> </w:t>
      </w:r>
    </w:p>
    <w:p w14:paraId="116C05B3" w14:textId="48B49413" w:rsidR="00730511" w:rsidRPr="00FC1B27" w:rsidRDefault="00300ADE" w:rsidP="00FC1B27">
      <w:pPr>
        <w:rPr>
          <w:rFonts w:ascii="Aptos" w:hAnsi="Aptos"/>
        </w:rPr>
      </w:pPr>
      <w:r w:rsidRPr="00FC1B27">
        <w:rPr>
          <w:rFonts w:ascii="Aptos" w:hAnsi="Aptos"/>
        </w:rPr>
        <w:t>Review Date:</w:t>
      </w:r>
      <w:proofErr w:type="gramStart"/>
      <w:r w:rsidR="009B4C1E" w:rsidRPr="00FC1B27">
        <w:rPr>
          <w:rFonts w:ascii="Aptos" w:hAnsi="Aptos"/>
        </w:rPr>
        <w:t>3</w:t>
      </w:r>
      <w:r w:rsidR="003C51A6">
        <w:rPr>
          <w:rFonts w:ascii="Aptos" w:hAnsi="Aptos"/>
        </w:rPr>
        <w:t>1</w:t>
      </w:r>
      <w:r w:rsidR="009B4C1E" w:rsidRPr="00FC1B27">
        <w:rPr>
          <w:rFonts w:ascii="Aptos" w:hAnsi="Aptos"/>
        </w:rPr>
        <w:t>.0</w:t>
      </w:r>
      <w:r w:rsidR="00332DF1" w:rsidRPr="00FC1B27">
        <w:rPr>
          <w:rFonts w:ascii="Aptos" w:hAnsi="Aptos"/>
        </w:rPr>
        <w:t>3</w:t>
      </w:r>
      <w:r w:rsidR="009B4C1E" w:rsidRPr="00FC1B27">
        <w:rPr>
          <w:rFonts w:ascii="Aptos" w:hAnsi="Aptos"/>
        </w:rPr>
        <w:t>.202</w:t>
      </w:r>
      <w:r w:rsidR="00332DF1" w:rsidRPr="00FC1B27">
        <w:rPr>
          <w:rFonts w:ascii="Aptos" w:hAnsi="Aptos"/>
        </w:rPr>
        <w:t>5</w:t>
      </w:r>
      <w:proofErr w:type="gramEnd"/>
      <w:r w:rsidRPr="00FC1B27">
        <w:rPr>
          <w:rFonts w:ascii="Aptos" w:hAnsi="Aptos"/>
        </w:rPr>
        <w:t xml:space="preserve"> </w:t>
      </w:r>
    </w:p>
    <w:p w14:paraId="78235DDE" w14:textId="77777777" w:rsidR="00730511" w:rsidRPr="00FC1B27" w:rsidRDefault="00730511" w:rsidP="00300ADE">
      <w:pPr>
        <w:jc w:val="right"/>
        <w:rPr>
          <w:rFonts w:ascii="Aptos" w:hAnsi="Aptos"/>
          <w:sz w:val="16"/>
          <w:szCs w:val="16"/>
        </w:rPr>
      </w:pPr>
    </w:p>
    <w:p w14:paraId="7FD5168A" w14:textId="77777777" w:rsidR="0081020E" w:rsidRPr="00FC1B27" w:rsidRDefault="0081020E" w:rsidP="00730511">
      <w:pPr>
        <w:rPr>
          <w:rFonts w:ascii="Aptos" w:hAnsi="Aptos"/>
          <w:sz w:val="16"/>
          <w:szCs w:val="16"/>
        </w:rPr>
      </w:pPr>
      <w:r w:rsidRPr="00FC1B27">
        <w:rPr>
          <w:rFonts w:ascii="Aptos" w:hAnsi="Aptos"/>
          <w:sz w:val="16"/>
          <w:szCs w:val="16"/>
        </w:rPr>
        <w:t>______________________________________________________________</w:t>
      </w:r>
      <w:r w:rsidR="00DF0AA3" w:rsidRPr="00FC1B27">
        <w:rPr>
          <w:rFonts w:ascii="Aptos" w:hAnsi="Aptos"/>
          <w:sz w:val="16"/>
          <w:szCs w:val="16"/>
        </w:rPr>
        <w:t>_______________________________</w:t>
      </w:r>
    </w:p>
    <w:p w14:paraId="57B47224" w14:textId="77777777" w:rsidR="00D771D8" w:rsidRPr="00FC1B27" w:rsidRDefault="00D771D8" w:rsidP="00D771D8">
      <w:pPr>
        <w:rPr>
          <w:rFonts w:ascii="Aptos" w:hAnsi="Aptos"/>
          <w:sz w:val="22"/>
          <w:szCs w:val="22"/>
        </w:rPr>
      </w:pPr>
    </w:p>
    <w:p w14:paraId="408BA492" w14:textId="77777777" w:rsidR="00D771D8" w:rsidRPr="00931A48" w:rsidRDefault="00D771D8" w:rsidP="004F6B51">
      <w:pPr>
        <w:pStyle w:val="Heading1"/>
        <w:rPr>
          <w:rFonts w:asciiTheme="minorHAnsi" w:hAnsiTheme="minorHAnsi"/>
          <w:sz w:val="24"/>
          <w:szCs w:val="24"/>
        </w:rPr>
      </w:pPr>
      <w:r w:rsidRPr="00931A48">
        <w:rPr>
          <w:rFonts w:asciiTheme="minorHAnsi" w:hAnsiTheme="minorHAnsi"/>
          <w:sz w:val="24"/>
          <w:szCs w:val="24"/>
        </w:rPr>
        <w:t xml:space="preserve">1.       </w:t>
      </w:r>
      <w:r w:rsidRPr="00931A48">
        <w:rPr>
          <w:rStyle w:val="Emphasis"/>
          <w:rFonts w:asciiTheme="minorHAnsi" w:hAnsiTheme="minorHAnsi"/>
          <w:szCs w:val="24"/>
        </w:rPr>
        <w:t>Policy</w:t>
      </w:r>
      <w:r w:rsidRPr="00931A48">
        <w:rPr>
          <w:rFonts w:asciiTheme="minorHAnsi" w:hAnsiTheme="minorHAnsi"/>
          <w:sz w:val="24"/>
          <w:szCs w:val="24"/>
        </w:rPr>
        <w:t xml:space="preserve"> </w:t>
      </w:r>
    </w:p>
    <w:p w14:paraId="4835588B" w14:textId="77777777" w:rsidR="00D771D8" w:rsidRPr="00931A48" w:rsidRDefault="00D771D8" w:rsidP="00D771D8">
      <w:pPr>
        <w:numPr>
          <w:ilvl w:val="0"/>
          <w:numId w:val="15"/>
        </w:numPr>
        <w:rPr>
          <w:rFonts w:asciiTheme="minorHAnsi" w:hAnsiTheme="minorHAnsi"/>
        </w:rPr>
      </w:pPr>
      <w:r w:rsidRPr="00931A48">
        <w:rPr>
          <w:rFonts w:asciiTheme="minorHAnsi" w:hAnsiTheme="minorHAnsi"/>
        </w:rPr>
        <w:t xml:space="preserve">Internal vacancies in Barnardo’s may be covered in the short term by a secondment arrangement. </w:t>
      </w:r>
      <w:r w:rsidR="009B4C1E" w:rsidRPr="00931A48">
        <w:rPr>
          <w:rFonts w:asciiTheme="minorHAnsi" w:hAnsiTheme="minorHAnsi"/>
        </w:rPr>
        <w:t xml:space="preserve"> </w:t>
      </w:r>
      <w:r w:rsidRPr="00931A48">
        <w:rPr>
          <w:rFonts w:asciiTheme="minorHAnsi" w:hAnsiTheme="minorHAnsi"/>
        </w:rPr>
        <w:t xml:space="preserve">Such an arrangement must be for a minimum of 4 working weeks and normally a maximum of 12 months. </w:t>
      </w:r>
      <w:r w:rsidRPr="00931A48">
        <w:rPr>
          <w:rFonts w:asciiTheme="minorHAnsi" w:hAnsiTheme="minorHAnsi"/>
        </w:rPr>
        <w:br/>
      </w:r>
    </w:p>
    <w:p w14:paraId="4192AEBA" w14:textId="77777777" w:rsidR="00D771D8" w:rsidRPr="00931A48" w:rsidRDefault="00D771D8" w:rsidP="00D771D8">
      <w:pPr>
        <w:numPr>
          <w:ilvl w:val="0"/>
          <w:numId w:val="15"/>
        </w:numPr>
        <w:rPr>
          <w:rFonts w:asciiTheme="minorHAnsi" w:hAnsiTheme="minorHAnsi"/>
        </w:rPr>
      </w:pPr>
      <w:r w:rsidRPr="00931A48">
        <w:rPr>
          <w:rFonts w:asciiTheme="minorHAnsi" w:hAnsiTheme="minorHAnsi"/>
        </w:rPr>
        <w:t>Time spent on secondment, including time spent outside of Barnardo’s on an external secondment, will not affect continuity of service.</w:t>
      </w:r>
      <w:r w:rsidRPr="00931A48">
        <w:rPr>
          <w:rFonts w:asciiTheme="minorHAnsi" w:hAnsiTheme="minorHAnsi"/>
        </w:rPr>
        <w:br/>
      </w:r>
    </w:p>
    <w:p w14:paraId="3345F46E" w14:textId="77777777" w:rsidR="00D771D8" w:rsidRPr="00931A48" w:rsidRDefault="00D771D8" w:rsidP="00D771D8">
      <w:pPr>
        <w:numPr>
          <w:ilvl w:val="0"/>
          <w:numId w:val="15"/>
        </w:numPr>
        <w:rPr>
          <w:rFonts w:asciiTheme="minorHAnsi" w:hAnsiTheme="minorHAnsi"/>
        </w:rPr>
      </w:pPr>
      <w:r w:rsidRPr="00931A48">
        <w:rPr>
          <w:rFonts w:asciiTheme="minorHAnsi" w:hAnsiTheme="minorHAnsi"/>
        </w:rPr>
        <w:t xml:space="preserve">Only secondments supported by a clear business case and where the full related costs can be recovered will be authorised. </w:t>
      </w:r>
      <w:r w:rsidR="009B4C1E" w:rsidRPr="00931A48">
        <w:rPr>
          <w:rFonts w:asciiTheme="minorHAnsi" w:hAnsiTheme="minorHAnsi"/>
        </w:rPr>
        <w:t xml:space="preserve"> </w:t>
      </w:r>
      <w:r w:rsidRPr="00931A48">
        <w:rPr>
          <w:rFonts w:asciiTheme="minorHAnsi" w:hAnsiTheme="minorHAnsi"/>
        </w:rPr>
        <w:t>Authorisation must be obtained from the grandparent line manager.</w:t>
      </w:r>
    </w:p>
    <w:p w14:paraId="1DBEF827" w14:textId="77777777" w:rsidR="00D771D8" w:rsidRPr="00931A48" w:rsidRDefault="00D771D8" w:rsidP="00D771D8">
      <w:pPr>
        <w:ind w:left="360"/>
        <w:rPr>
          <w:rFonts w:asciiTheme="minorHAnsi" w:hAnsiTheme="minorHAnsi"/>
        </w:rPr>
      </w:pPr>
    </w:p>
    <w:p w14:paraId="4242C1FD" w14:textId="77777777" w:rsidR="00D771D8" w:rsidRPr="00931A48" w:rsidRDefault="00D771D8" w:rsidP="00D771D8">
      <w:pPr>
        <w:numPr>
          <w:ilvl w:val="0"/>
          <w:numId w:val="15"/>
        </w:numPr>
        <w:rPr>
          <w:rFonts w:asciiTheme="minorHAnsi" w:hAnsiTheme="minorHAnsi"/>
        </w:rPr>
      </w:pPr>
      <w:r w:rsidRPr="00931A48">
        <w:rPr>
          <w:rFonts w:asciiTheme="minorHAnsi" w:hAnsiTheme="minorHAnsi"/>
        </w:rPr>
        <w:t xml:space="preserve">Generally, all Barnardo’s secondment opportunities will be advertised internally on the Internal Vacancy List (IVL) and secured through an open and competitive process. (This requirement however may be waived if an opportunity arises for an individual with specialist expertise). </w:t>
      </w:r>
      <w:r w:rsidRPr="00931A48">
        <w:rPr>
          <w:rFonts w:asciiTheme="minorHAnsi" w:hAnsiTheme="minorHAnsi"/>
        </w:rPr>
        <w:br/>
      </w:r>
    </w:p>
    <w:p w14:paraId="1618EE3D" w14:textId="77777777" w:rsidR="00D771D8" w:rsidRPr="00931A48" w:rsidRDefault="00D771D8" w:rsidP="00D771D8">
      <w:pPr>
        <w:numPr>
          <w:ilvl w:val="1"/>
          <w:numId w:val="15"/>
        </w:numPr>
        <w:tabs>
          <w:tab w:val="num" w:pos="720"/>
        </w:tabs>
        <w:ind w:left="720"/>
        <w:rPr>
          <w:rFonts w:asciiTheme="minorHAnsi" w:hAnsiTheme="minorHAnsi"/>
        </w:rPr>
      </w:pPr>
      <w:r w:rsidRPr="00931A48">
        <w:rPr>
          <w:rFonts w:asciiTheme="minorHAnsi" w:hAnsiTheme="minorHAnsi"/>
        </w:rPr>
        <w:t xml:space="preserve">The decision to authorise an employee to take up a secondment rests with the line manager of the employee’s current post and if </w:t>
      </w:r>
      <w:r w:rsidR="00974EF8" w:rsidRPr="00931A48">
        <w:rPr>
          <w:rFonts w:asciiTheme="minorHAnsi" w:hAnsiTheme="minorHAnsi"/>
        </w:rPr>
        <w:t>necessary,</w:t>
      </w:r>
      <w:r w:rsidRPr="00931A48">
        <w:rPr>
          <w:rFonts w:asciiTheme="minorHAnsi" w:hAnsiTheme="minorHAnsi"/>
        </w:rPr>
        <w:t xml:space="preserve"> authorisation will be declined in the interests of service or operational requirements.</w:t>
      </w:r>
      <w:r w:rsidRPr="00931A48">
        <w:rPr>
          <w:rFonts w:asciiTheme="minorHAnsi" w:hAnsiTheme="minorHAnsi"/>
        </w:rPr>
        <w:br/>
      </w:r>
    </w:p>
    <w:p w14:paraId="55786024" w14:textId="77777777" w:rsidR="00D771D8" w:rsidRPr="00931A48" w:rsidRDefault="00D771D8" w:rsidP="00D771D8">
      <w:pPr>
        <w:numPr>
          <w:ilvl w:val="1"/>
          <w:numId w:val="15"/>
        </w:numPr>
        <w:tabs>
          <w:tab w:val="num" w:pos="720"/>
        </w:tabs>
        <w:ind w:left="720"/>
        <w:rPr>
          <w:rFonts w:asciiTheme="minorHAnsi" w:hAnsiTheme="minorHAnsi"/>
        </w:rPr>
      </w:pPr>
      <w:r w:rsidRPr="00931A48">
        <w:rPr>
          <w:rFonts w:asciiTheme="minorHAnsi" w:hAnsiTheme="minorHAnsi"/>
        </w:rPr>
        <w:t>Any change in terms and conditions (e.g</w:t>
      </w:r>
      <w:r w:rsidR="009B4C1E" w:rsidRPr="00931A48">
        <w:rPr>
          <w:rFonts w:asciiTheme="minorHAnsi" w:hAnsiTheme="minorHAnsi"/>
        </w:rPr>
        <w:t>.</w:t>
      </w:r>
      <w:r w:rsidRPr="00931A48">
        <w:rPr>
          <w:rFonts w:asciiTheme="minorHAnsi" w:hAnsiTheme="minorHAnsi"/>
        </w:rPr>
        <w:t xml:space="preserve"> if seconded to a higher salary) is temporary and the employee has the right to return to their substantive post and terms and conditions at the end of the secondment period. </w:t>
      </w:r>
      <w:r w:rsidR="009B4C1E" w:rsidRPr="00931A48">
        <w:rPr>
          <w:rFonts w:asciiTheme="minorHAnsi" w:hAnsiTheme="minorHAnsi"/>
        </w:rPr>
        <w:t xml:space="preserve"> </w:t>
      </w:r>
      <w:r w:rsidRPr="00931A48">
        <w:rPr>
          <w:rFonts w:asciiTheme="minorHAnsi" w:hAnsiTheme="minorHAnsi"/>
        </w:rPr>
        <w:t xml:space="preserve">(Advice should be sought from the People Team regarding an employee who has transferred under TUPE and who subsequently expresses an interest in a secondment opportunity). </w:t>
      </w:r>
      <w:r w:rsidRPr="00931A48">
        <w:rPr>
          <w:rFonts w:asciiTheme="minorHAnsi" w:hAnsiTheme="minorHAnsi"/>
        </w:rPr>
        <w:br/>
      </w:r>
    </w:p>
    <w:p w14:paraId="060D37F2" w14:textId="77777777" w:rsidR="00D771D8" w:rsidRPr="00931A48" w:rsidRDefault="00D771D8" w:rsidP="00D771D8">
      <w:pPr>
        <w:numPr>
          <w:ilvl w:val="1"/>
          <w:numId w:val="15"/>
        </w:numPr>
        <w:tabs>
          <w:tab w:val="num" w:pos="720"/>
        </w:tabs>
        <w:ind w:left="720"/>
        <w:rPr>
          <w:rFonts w:asciiTheme="minorHAnsi" w:hAnsiTheme="minorHAnsi"/>
        </w:rPr>
      </w:pPr>
      <w:r w:rsidRPr="00931A48">
        <w:rPr>
          <w:rFonts w:asciiTheme="minorHAnsi" w:hAnsiTheme="minorHAnsi"/>
        </w:rPr>
        <w:t>If proposals to change the employee’s substantive post or department structure occur during the secondment, the substantive manager must ensure that the secondee is included in a consultation process in accordance with Barnardo’s organisational change policies.</w:t>
      </w:r>
    </w:p>
    <w:p w14:paraId="442803D9" w14:textId="77777777" w:rsidR="00D771D8" w:rsidRPr="00931A48" w:rsidRDefault="009B4C1E" w:rsidP="005D4FCD">
      <w:pPr>
        <w:ind w:left="709" w:hanging="709"/>
        <w:rPr>
          <w:rFonts w:asciiTheme="minorHAnsi" w:hAnsiTheme="minorHAnsi" w:cs="Arial"/>
        </w:rPr>
      </w:pPr>
      <w:r w:rsidRPr="00931A48">
        <w:rPr>
          <w:rFonts w:asciiTheme="minorHAnsi" w:hAnsiTheme="minorHAnsi"/>
        </w:rPr>
        <w:br w:type="page"/>
      </w:r>
      <w:r w:rsidR="00D771D8" w:rsidRPr="00931A48">
        <w:rPr>
          <w:rFonts w:asciiTheme="minorHAnsi" w:hAnsiTheme="minorHAnsi" w:cs="Arial"/>
        </w:rPr>
        <w:lastRenderedPageBreak/>
        <w:t>2.</w:t>
      </w:r>
      <w:r w:rsidR="00D771D8" w:rsidRPr="00931A48">
        <w:rPr>
          <w:rFonts w:asciiTheme="minorHAnsi" w:hAnsiTheme="minorHAnsi" w:cs="Arial"/>
        </w:rPr>
        <w:tab/>
      </w:r>
      <w:r w:rsidR="00D771D8" w:rsidRPr="00931A48">
        <w:rPr>
          <w:rStyle w:val="Emphasis"/>
          <w:rFonts w:asciiTheme="minorHAnsi" w:hAnsiTheme="minorHAnsi"/>
        </w:rPr>
        <w:t>Definitions</w:t>
      </w:r>
    </w:p>
    <w:p w14:paraId="4E2879DE" w14:textId="77777777" w:rsidR="00D771D8" w:rsidRPr="00931A48" w:rsidRDefault="00D771D8" w:rsidP="00D771D8">
      <w:pPr>
        <w:rPr>
          <w:rStyle w:val="Strong"/>
          <w:rFonts w:asciiTheme="minorHAnsi" w:hAnsiTheme="minorHAnsi"/>
          <w:sz w:val="24"/>
        </w:rPr>
      </w:pPr>
    </w:p>
    <w:p w14:paraId="01D811EB" w14:textId="77777777" w:rsidR="00D771D8" w:rsidRPr="00931A48" w:rsidRDefault="00D771D8" w:rsidP="00D771D8">
      <w:pPr>
        <w:rPr>
          <w:rFonts w:asciiTheme="minorHAnsi" w:hAnsiTheme="minorHAnsi"/>
        </w:rPr>
      </w:pPr>
      <w:r w:rsidRPr="00931A48">
        <w:rPr>
          <w:rStyle w:val="Strong"/>
          <w:rFonts w:asciiTheme="minorHAnsi" w:hAnsiTheme="minorHAnsi"/>
          <w:sz w:val="24"/>
        </w:rPr>
        <w:t>Secondment</w:t>
      </w:r>
      <w:r w:rsidRPr="00931A48">
        <w:rPr>
          <w:rFonts w:asciiTheme="minorHAnsi" w:hAnsiTheme="minorHAnsi"/>
        </w:rPr>
        <w:t xml:space="preserve"> is the temporary movement or loan of an employee to/from a different department within Barnardo’s, or to/from another organisation, for a specific purpose for a specific </w:t>
      </w:r>
      <w:proofErr w:type="gramStart"/>
      <w:r w:rsidRPr="00931A48">
        <w:rPr>
          <w:rFonts w:asciiTheme="minorHAnsi" w:hAnsiTheme="minorHAnsi"/>
        </w:rPr>
        <w:t>period of time</w:t>
      </w:r>
      <w:proofErr w:type="gramEnd"/>
      <w:r w:rsidRPr="00931A48">
        <w:rPr>
          <w:rFonts w:asciiTheme="minorHAnsi" w:hAnsiTheme="minorHAnsi"/>
        </w:rPr>
        <w:t xml:space="preserve">.  These different secondment arrangements are described respectively as </w:t>
      </w:r>
      <w:r w:rsidRPr="00931A48">
        <w:rPr>
          <w:rFonts w:asciiTheme="minorHAnsi" w:hAnsiTheme="minorHAnsi"/>
          <w:b/>
        </w:rPr>
        <w:t>internal</w:t>
      </w:r>
      <w:r w:rsidRPr="00931A48">
        <w:rPr>
          <w:rFonts w:asciiTheme="minorHAnsi" w:hAnsiTheme="minorHAnsi"/>
        </w:rPr>
        <w:t xml:space="preserve">, </w:t>
      </w:r>
      <w:r w:rsidRPr="00931A48">
        <w:rPr>
          <w:rFonts w:asciiTheme="minorHAnsi" w:hAnsiTheme="minorHAnsi"/>
          <w:b/>
        </w:rPr>
        <w:t>external outbound</w:t>
      </w:r>
      <w:r w:rsidRPr="00931A48">
        <w:rPr>
          <w:rFonts w:asciiTheme="minorHAnsi" w:hAnsiTheme="minorHAnsi"/>
        </w:rPr>
        <w:t xml:space="preserve"> (from Barnardo’s) and </w:t>
      </w:r>
      <w:r w:rsidRPr="00931A48">
        <w:rPr>
          <w:rFonts w:asciiTheme="minorHAnsi" w:hAnsiTheme="minorHAnsi"/>
          <w:b/>
        </w:rPr>
        <w:t>external inbound</w:t>
      </w:r>
      <w:r w:rsidRPr="00931A48">
        <w:rPr>
          <w:rFonts w:asciiTheme="minorHAnsi" w:hAnsiTheme="minorHAnsi"/>
        </w:rPr>
        <w:t xml:space="preserve"> (to Barnardo’s).</w:t>
      </w:r>
    </w:p>
    <w:p w14:paraId="593416CC" w14:textId="77777777" w:rsidR="00D771D8" w:rsidRPr="00931A48" w:rsidRDefault="00D771D8" w:rsidP="00D771D8">
      <w:pPr>
        <w:rPr>
          <w:rFonts w:asciiTheme="minorHAnsi" w:hAnsiTheme="minorHAnsi"/>
        </w:rPr>
      </w:pPr>
    </w:p>
    <w:p w14:paraId="3E5B7351" w14:textId="77777777" w:rsidR="009B4C1E" w:rsidRPr="00931A48" w:rsidRDefault="00D771D8" w:rsidP="009B4C1E">
      <w:pPr>
        <w:ind w:left="2880" w:hanging="2880"/>
        <w:rPr>
          <w:rFonts w:asciiTheme="minorHAnsi" w:hAnsiTheme="minorHAnsi"/>
        </w:rPr>
      </w:pPr>
      <w:r w:rsidRPr="00931A48">
        <w:rPr>
          <w:rFonts w:asciiTheme="minorHAnsi" w:hAnsiTheme="minorHAnsi"/>
        </w:rPr>
        <w:t xml:space="preserve">Secondment manager </w:t>
      </w:r>
      <w:r w:rsidRPr="00931A48">
        <w:rPr>
          <w:rFonts w:asciiTheme="minorHAnsi" w:hAnsiTheme="minorHAnsi"/>
        </w:rPr>
        <w:tab/>
        <w:t>– manager setting up secondment arrangement for post</w:t>
      </w:r>
      <w:r w:rsidRPr="00931A48">
        <w:rPr>
          <w:rFonts w:asciiTheme="minorHAnsi" w:hAnsiTheme="minorHAnsi"/>
        </w:rPr>
        <w:br/>
        <w:t xml:space="preserve">   within their ar</w:t>
      </w:r>
      <w:r w:rsidR="004F6B51" w:rsidRPr="00931A48">
        <w:rPr>
          <w:rFonts w:asciiTheme="minorHAnsi" w:hAnsiTheme="minorHAnsi"/>
        </w:rPr>
        <w:t xml:space="preserve">ea of responsibility and the </w:t>
      </w:r>
      <w:proofErr w:type="gramStart"/>
      <w:r w:rsidRPr="00931A48">
        <w:rPr>
          <w:rFonts w:asciiTheme="minorHAnsi" w:hAnsiTheme="minorHAnsi"/>
        </w:rPr>
        <w:t>secondee’s</w:t>
      </w:r>
      <w:proofErr w:type="gramEnd"/>
      <w:r w:rsidRPr="00931A48">
        <w:rPr>
          <w:rFonts w:asciiTheme="minorHAnsi" w:hAnsiTheme="minorHAnsi"/>
        </w:rPr>
        <w:t xml:space="preserve"> </w:t>
      </w:r>
    </w:p>
    <w:p w14:paraId="5563C7C9" w14:textId="77777777" w:rsidR="00D771D8" w:rsidRPr="00931A48" w:rsidRDefault="00D771D8" w:rsidP="009B4C1E">
      <w:pPr>
        <w:ind w:left="2880" w:firstLine="239"/>
        <w:rPr>
          <w:rFonts w:asciiTheme="minorHAnsi" w:hAnsiTheme="minorHAnsi"/>
        </w:rPr>
      </w:pPr>
      <w:r w:rsidRPr="00931A48">
        <w:rPr>
          <w:rFonts w:asciiTheme="minorHAnsi" w:hAnsiTheme="minorHAnsi"/>
        </w:rPr>
        <w:t>line</w:t>
      </w:r>
      <w:r w:rsidR="009B4C1E" w:rsidRPr="00931A48">
        <w:rPr>
          <w:rFonts w:asciiTheme="minorHAnsi" w:hAnsiTheme="minorHAnsi"/>
        </w:rPr>
        <w:t xml:space="preserve"> </w:t>
      </w:r>
      <w:proofErr w:type="gramStart"/>
      <w:r w:rsidRPr="00931A48">
        <w:rPr>
          <w:rFonts w:asciiTheme="minorHAnsi" w:hAnsiTheme="minorHAnsi"/>
        </w:rPr>
        <w:t>manager</w:t>
      </w:r>
      <w:proofErr w:type="gramEnd"/>
    </w:p>
    <w:p w14:paraId="6FF4504B" w14:textId="77777777" w:rsidR="00D771D8" w:rsidRPr="00931A48" w:rsidRDefault="004F6B51" w:rsidP="00D771D8">
      <w:pPr>
        <w:rPr>
          <w:rFonts w:asciiTheme="minorHAnsi" w:hAnsiTheme="minorHAnsi"/>
        </w:rPr>
      </w:pPr>
      <w:r w:rsidRPr="00931A48">
        <w:rPr>
          <w:rFonts w:asciiTheme="minorHAnsi" w:hAnsiTheme="minorHAnsi"/>
        </w:rPr>
        <w:t>Substantive manager</w:t>
      </w:r>
      <w:r w:rsidRPr="00931A48">
        <w:rPr>
          <w:rFonts w:asciiTheme="minorHAnsi" w:hAnsiTheme="minorHAnsi"/>
        </w:rPr>
        <w:tab/>
      </w:r>
      <w:r w:rsidR="00D771D8" w:rsidRPr="00931A48">
        <w:rPr>
          <w:rFonts w:asciiTheme="minorHAnsi" w:hAnsiTheme="minorHAnsi"/>
        </w:rPr>
        <w:t xml:space="preserve">– line manager of employee seconded out of their </w:t>
      </w:r>
      <w:proofErr w:type="gramStart"/>
      <w:r w:rsidR="00D771D8" w:rsidRPr="00931A48">
        <w:rPr>
          <w:rFonts w:asciiTheme="minorHAnsi" w:hAnsiTheme="minorHAnsi"/>
        </w:rPr>
        <w:t>team</w:t>
      </w:r>
      <w:proofErr w:type="gramEnd"/>
    </w:p>
    <w:p w14:paraId="0AB94B21" w14:textId="77777777" w:rsidR="00D771D8" w:rsidRPr="00931A48" w:rsidRDefault="00D771D8" w:rsidP="00D771D8">
      <w:pPr>
        <w:rPr>
          <w:rFonts w:asciiTheme="minorHAnsi" w:hAnsiTheme="minorHAnsi"/>
          <w:color w:val="FF0000"/>
        </w:rPr>
      </w:pPr>
      <w:r w:rsidRPr="00931A48">
        <w:rPr>
          <w:rFonts w:asciiTheme="minorHAnsi" w:hAnsiTheme="minorHAnsi"/>
        </w:rPr>
        <w:t>Substantive post</w:t>
      </w:r>
      <w:r w:rsidRPr="00931A48">
        <w:rPr>
          <w:rFonts w:asciiTheme="minorHAnsi" w:hAnsiTheme="minorHAnsi"/>
        </w:rPr>
        <w:tab/>
      </w:r>
      <w:r w:rsidRPr="00931A48">
        <w:rPr>
          <w:rFonts w:asciiTheme="minorHAnsi" w:hAnsiTheme="minorHAnsi"/>
        </w:rPr>
        <w:tab/>
        <w:t>– seconded employee’s original post</w:t>
      </w:r>
      <w:r w:rsidRPr="00931A48">
        <w:rPr>
          <w:rFonts w:asciiTheme="minorHAnsi" w:hAnsiTheme="minorHAnsi"/>
        </w:rPr>
        <w:br/>
      </w:r>
    </w:p>
    <w:p w14:paraId="0183EA76" w14:textId="77777777" w:rsidR="00D771D8" w:rsidRPr="00931A48" w:rsidRDefault="004F6B51" w:rsidP="004F6B51">
      <w:pPr>
        <w:pStyle w:val="Heading1"/>
        <w:rPr>
          <w:rStyle w:val="Emphasis"/>
          <w:rFonts w:asciiTheme="minorHAnsi" w:hAnsiTheme="minorHAnsi"/>
          <w:szCs w:val="24"/>
        </w:rPr>
      </w:pPr>
      <w:bookmarkStart w:id="0" w:name="_Toc273609120"/>
      <w:r w:rsidRPr="00931A48">
        <w:rPr>
          <w:rStyle w:val="Emphasis"/>
          <w:rFonts w:asciiTheme="minorHAnsi" w:hAnsiTheme="minorHAnsi"/>
          <w:szCs w:val="24"/>
        </w:rPr>
        <w:t xml:space="preserve">3. </w:t>
      </w:r>
      <w:r w:rsidR="009B4C1E" w:rsidRPr="00931A48">
        <w:rPr>
          <w:rStyle w:val="Emphasis"/>
          <w:rFonts w:asciiTheme="minorHAnsi" w:hAnsiTheme="minorHAnsi"/>
          <w:szCs w:val="24"/>
        </w:rPr>
        <w:tab/>
      </w:r>
      <w:r w:rsidR="00D771D8" w:rsidRPr="00931A48">
        <w:rPr>
          <w:rStyle w:val="Emphasis"/>
          <w:rFonts w:asciiTheme="minorHAnsi" w:hAnsiTheme="minorHAnsi"/>
          <w:szCs w:val="24"/>
        </w:rPr>
        <w:t>General procedures for secondments</w:t>
      </w:r>
      <w:bookmarkEnd w:id="0"/>
    </w:p>
    <w:p w14:paraId="3CC6708F" w14:textId="77777777" w:rsidR="00D771D8" w:rsidRPr="00931A48" w:rsidRDefault="00D771D8" w:rsidP="00D771D8">
      <w:pPr>
        <w:rPr>
          <w:rFonts w:asciiTheme="minorHAnsi" w:hAnsiTheme="minorHAnsi"/>
        </w:rPr>
      </w:pPr>
    </w:p>
    <w:p w14:paraId="23D8E090" w14:textId="27AB73AE" w:rsidR="00D771D8" w:rsidRPr="00931A48" w:rsidRDefault="0061407F" w:rsidP="00D771D8">
      <w:pPr>
        <w:numPr>
          <w:ilvl w:val="1"/>
          <w:numId w:val="16"/>
        </w:numPr>
        <w:tabs>
          <w:tab w:val="num" w:pos="720"/>
        </w:tabs>
        <w:ind w:left="720" w:hanging="720"/>
        <w:rPr>
          <w:rFonts w:asciiTheme="minorHAnsi" w:hAnsiTheme="minorHAnsi"/>
        </w:rPr>
      </w:pPr>
      <w:r w:rsidRPr="00931A48">
        <w:rPr>
          <w:rFonts w:asciiTheme="minorHAnsi" w:hAnsiTheme="minorHAnsi"/>
        </w:rPr>
        <w:t xml:space="preserve">   </w:t>
      </w:r>
      <w:r w:rsidR="00D03532">
        <w:rPr>
          <w:rFonts w:asciiTheme="minorHAnsi" w:hAnsiTheme="minorHAnsi"/>
        </w:rPr>
        <w:t xml:space="preserve"> </w:t>
      </w:r>
      <w:r w:rsidRPr="00931A48">
        <w:rPr>
          <w:rFonts w:asciiTheme="minorHAnsi" w:hAnsiTheme="minorHAnsi"/>
        </w:rPr>
        <w:t xml:space="preserve"> </w:t>
      </w:r>
      <w:r w:rsidR="00D03532">
        <w:rPr>
          <w:rFonts w:asciiTheme="minorHAnsi" w:hAnsiTheme="minorHAnsi"/>
        </w:rPr>
        <w:t xml:space="preserve">  </w:t>
      </w:r>
      <w:r w:rsidR="00D771D8" w:rsidRPr="00931A48">
        <w:rPr>
          <w:rFonts w:asciiTheme="minorHAnsi" w:hAnsiTheme="minorHAnsi"/>
        </w:rPr>
        <w:t xml:space="preserve">Secondment manager establishes a clear business case setting out the pros and cons of the secondment and any related costs. </w:t>
      </w:r>
      <w:r w:rsidR="00D771D8" w:rsidRPr="00931A48">
        <w:rPr>
          <w:rFonts w:asciiTheme="minorHAnsi" w:hAnsiTheme="minorHAnsi"/>
        </w:rPr>
        <w:br/>
      </w:r>
    </w:p>
    <w:p w14:paraId="522BC59C" w14:textId="43AEE1DF" w:rsidR="00D771D8" w:rsidRPr="00931A48" w:rsidRDefault="0061407F" w:rsidP="00D771D8">
      <w:pPr>
        <w:numPr>
          <w:ilvl w:val="1"/>
          <w:numId w:val="16"/>
        </w:numPr>
        <w:tabs>
          <w:tab w:val="num" w:pos="720"/>
        </w:tabs>
        <w:ind w:left="720" w:hanging="720"/>
        <w:rPr>
          <w:rFonts w:asciiTheme="minorHAnsi" w:hAnsiTheme="minorHAnsi"/>
        </w:rPr>
      </w:pPr>
      <w:r w:rsidRPr="00931A48">
        <w:rPr>
          <w:rFonts w:asciiTheme="minorHAnsi" w:hAnsiTheme="minorHAnsi"/>
        </w:rPr>
        <w:t xml:space="preserve">    </w:t>
      </w:r>
      <w:r w:rsidR="00D03532">
        <w:rPr>
          <w:rFonts w:asciiTheme="minorHAnsi" w:hAnsiTheme="minorHAnsi"/>
        </w:rPr>
        <w:t xml:space="preserve">  </w:t>
      </w:r>
      <w:r w:rsidRPr="00931A48">
        <w:rPr>
          <w:rFonts w:asciiTheme="minorHAnsi" w:hAnsiTheme="minorHAnsi"/>
        </w:rPr>
        <w:t xml:space="preserve"> </w:t>
      </w:r>
      <w:r w:rsidR="00D771D8" w:rsidRPr="00931A48">
        <w:rPr>
          <w:rFonts w:asciiTheme="minorHAnsi" w:hAnsiTheme="minorHAnsi"/>
        </w:rPr>
        <w:t>External outbound secondment ONLY: the substantive manager must provide as part of their business case clarity about Barnardo’s recouping all employment costs (including pension costs and expenses) from the host organisation during the secondment. (To avoid complications, the preferred option would be for the host organisation to pay expenses direct to the secondee).</w:t>
      </w:r>
      <w:r w:rsidR="00D771D8" w:rsidRPr="00931A48">
        <w:rPr>
          <w:rFonts w:asciiTheme="minorHAnsi" w:hAnsiTheme="minorHAnsi"/>
        </w:rPr>
        <w:br/>
      </w:r>
    </w:p>
    <w:p w14:paraId="7448CE95" w14:textId="79600FC7" w:rsidR="00D771D8" w:rsidRPr="00931A48" w:rsidRDefault="0061407F" w:rsidP="00D771D8">
      <w:pPr>
        <w:numPr>
          <w:ilvl w:val="1"/>
          <w:numId w:val="16"/>
        </w:numPr>
        <w:tabs>
          <w:tab w:val="num" w:pos="720"/>
        </w:tabs>
        <w:ind w:left="720" w:hanging="720"/>
        <w:rPr>
          <w:rFonts w:asciiTheme="minorHAnsi" w:hAnsiTheme="minorHAnsi"/>
        </w:rPr>
      </w:pPr>
      <w:r w:rsidRPr="00931A48">
        <w:rPr>
          <w:rFonts w:asciiTheme="minorHAnsi" w:hAnsiTheme="minorHAnsi"/>
        </w:rPr>
        <w:t xml:space="preserve">     </w:t>
      </w:r>
      <w:r w:rsidR="00D03532">
        <w:rPr>
          <w:rFonts w:asciiTheme="minorHAnsi" w:hAnsiTheme="minorHAnsi"/>
        </w:rPr>
        <w:t xml:space="preserve">  </w:t>
      </w:r>
      <w:r w:rsidR="00D771D8" w:rsidRPr="00931A48">
        <w:rPr>
          <w:rFonts w:asciiTheme="minorHAnsi" w:hAnsiTheme="minorHAnsi"/>
        </w:rPr>
        <w:t xml:space="preserve">Secondment manager identifies the purpose of and objectives for the secondment together with the length, job description, (subject to job evaluation) and terms and conditions including grade and salary. </w:t>
      </w:r>
      <w:r w:rsidR="00D771D8" w:rsidRPr="00931A48">
        <w:rPr>
          <w:rFonts w:asciiTheme="minorHAnsi" w:hAnsiTheme="minorHAnsi"/>
        </w:rPr>
        <w:br/>
      </w:r>
    </w:p>
    <w:p w14:paraId="282A0CF6" w14:textId="3B1A04C0" w:rsidR="00D771D8" w:rsidRPr="00931A48" w:rsidRDefault="0061407F" w:rsidP="00D771D8">
      <w:pPr>
        <w:numPr>
          <w:ilvl w:val="1"/>
          <w:numId w:val="16"/>
        </w:numPr>
        <w:tabs>
          <w:tab w:val="num" w:pos="720"/>
        </w:tabs>
        <w:ind w:left="720" w:hanging="720"/>
        <w:rPr>
          <w:rFonts w:asciiTheme="minorHAnsi" w:hAnsiTheme="minorHAnsi"/>
        </w:rPr>
      </w:pPr>
      <w:r w:rsidRPr="00931A48">
        <w:rPr>
          <w:rFonts w:asciiTheme="minorHAnsi" w:hAnsiTheme="minorHAnsi"/>
        </w:rPr>
        <w:t xml:space="preserve">     </w:t>
      </w:r>
      <w:r w:rsidR="00D03532">
        <w:rPr>
          <w:rFonts w:asciiTheme="minorHAnsi" w:hAnsiTheme="minorHAnsi"/>
        </w:rPr>
        <w:t xml:space="preserve">  </w:t>
      </w:r>
      <w:r w:rsidR="00D771D8" w:rsidRPr="00931A48">
        <w:rPr>
          <w:rFonts w:asciiTheme="minorHAnsi" w:hAnsiTheme="minorHAnsi"/>
        </w:rPr>
        <w:t xml:space="preserve">At the outset, authorisation must be sought by the secondment manager (in the case of an internal secondment) and the substantive manager and the employee (in the case of an external outbound secondment). The manager must weigh-up the costs of temporary replacement/cover and potential effects on service delivery against the expected benefits.  </w:t>
      </w:r>
      <w:r w:rsidR="00D771D8" w:rsidRPr="00931A48">
        <w:rPr>
          <w:rFonts w:asciiTheme="minorHAnsi" w:hAnsiTheme="minorHAnsi"/>
        </w:rPr>
        <w:br/>
      </w:r>
    </w:p>
    <w:p w14:paraId="70400352" w14:textId="3D43704A" w:rsidR="00D771D8" w:rsidRPr="00931A48" w:rsidRDefault="0061407F" w:rsidP="00D771D8">
      <w:pPr>
        <w:numPr>
          <w:ilvl w:val="1"/>
          <w:numId w:val="16"/>
        </w:numPr>
        <w:tabs>
          <w:tab w:val="num" w:pos="720"/>
        </w:tabs>
        <w:ind w:left="720" w:hanging="720"/>
        <w:rPr>
          <w:rFonts w:asciiTheme="minorHAnsi" w:hAnsiTheme="minorHAnsi"/>
        </w:rPr>
      </w:pPr>
      <w:r w:rsidRPr="00931A48">
        <w:rPr>
          <w:rFonts w:asciiTheme="minorHAnsi" w:hAnsiTheme="minorHAnsi"/>
        </w:rPr>
        <w:t xml:space="preserve">     </w:t>
      </w:r>
      <w:r w:rsidR="00D03532">
        <w:rPr>
          <w:rFonts w:asciiTheme="minorHAnsi" w:hAnsiTheme="minorHAnsi"/>
        </w:rPr>
        <w:t xml:space="preserve">  </w:t>
      </w:r>
      <w:r w:rsidR="00D771D8" w:rsidRPr="00931A48">
        <w:rPr>
          <w:rFonts w:asciiTheme="minorHAnsi" w:hAnsiTheme="minorHAnsi"/>
        </w:rPr>
        <w:t xml:space="preserve">External outbound secondment ONLY: The substantive manager must be satisfied that the host organisation has appropriate arrangements in place for compliance with statutory obligations, including health and safety, and will provide necessary induction, training, </w:t>
      </w:r>
      <w:proofErr w:type="gramStart"/>
      <w:r w:rsidR="00D771D8" w:rsidRPr="00931A48">
        <w:rPr>
          <w:rFonts w:asciiTheme="minorHAnsi" w:hAnsiTheme="minorHAnsi"/>
        </w:rPr>
        <w:t>monitoring</w:t>
      </w:r>
      <w:proofErr w:type="gramEnd"/>
      <w:r w:rsidR="00D771D8" w:rsidRPr="00931A48">
        <w:rPr>
          <w:rFonts w:asciiTheme="minorHAnsi" w:hAnsiTheme="minorHAnsi"/>
        </w:rPr>
        <w:t xml:space="preserve"> and appraisal for the secondee.  </w:t>
      </w:r>
      <w:r w:rsidR="00D771D8" w:rsidRPr="00931A48">
        <w:rPr>
          <w:rFonts w:asciiTheme="minorHAnsi" w:hAnsiTheme="minorHAnsi"/>
        </w:rPr>
        <w:br/>
      </w:r>
    </w:p>
    <w:p w14:paraId="62CC4557" w14:textId="364867A9" w:rsidR="00D771D8" w:rsidRPr="00931A48" w:rsidRDefault="0061407F" w:rsidP="00D771D8">
      <w:pPr>
        <w:numPr>
          <w:ilvl w:val="1"/>
          <w:numId w:val="16"/>
        </w:numPr>
        <w:tabs>
          <w:tab w:val="num" w:pos="720"/>
        </w:tabs>
        <w:ind w:left="720" w:hanging="720"/>
        <w:rPr>
          <w:rFonts w:asciiTheme="minorHAnsi" w:hAnsiTheme="minorHAnsi"/>
        </w:rPr>
      </w:pPr>
      <w:r w:rsidRPr="00931A48">
        <w:rPr>
          <w:rFonts w:asciiTheme="minorHAnsi" w:hAnsiTheme="minorHAnsi"/>
        </w:rPr>
        <w:t xml:space="preserve">    </w:t>
      </w:r>
      <w:r w:rsidR="00086926">
        <w:rPr>
          <w:rFonts w:asciiTheme="minorHAnsi" w:hAnsiTheme="minorHAnsi"/>
        </w:rPr>
        <w:t xml:space="preserve"> </w:t>
      </w:r>
      <w:r w:rsidR="00D03532">
        <w:rPr>
          <w:rFonts w:asciiTheme="minorHAnsi" w:hAnsiTheme="minorHAnsi"/>
        </w:rPr>
        <w:t xml:space="preserve">  </w:t>
      </w:r>
      <w:r w:rsidR="00D771D8" w:rsidRPr="00931A48">
        <w:rPr>
          <w:rFonts w:asciiTheme="minorHAnsi" w:hAnsiTheme="minorHAnsi"/>
        </w:rPr>
        <w:t xml:space="preserve">External outbound secondment ONLY: The substantive manager must </w:t>
      </w:r>
      <w:proofErr w:type="gramStart"/>
      <w:r w:rsidR="00D771D8" w:rsidRPr="00931A48">
        <w:rPr>
          <w:rFonts w:asciiTheme="minorHAnsi" w:hAnsiTheme="minorHAnsi"/>
        </w:rPr>
        <w:t>make arrangements</w:t>
      </w:r>
      <w:proofErr w:type="gramEnd"/>
      <w:r w:rsidR="00D771D8" w:rsidRPr="00931A48">
        <w:rPr>
          <w:rFonts w:asciiTheme="minorHAnsi" w:hAnsiTheme="minorHAnsi"/>
        </w:rPr>
        <w:t xml:space="preserve"> for Barnardo’s to invoice the host organisation for the employment costs at the agreed frequency. </w:t>
      </w:r>
      <w:r w:rsidR="00D771D8" w:rsidRPr="00931A48">
        <w:rPr>
          <w:rFonts w:asciiTheme="minorHAnsi" w:hAnsiTheme="minorHAnsi"/>
        </w:rPr>
        <w:br/>
      </w:r>
    </w:p>
    <w:p w14:paraId="518D11D1" w14:textId="0C022471" w:rsidR="00D771D8" w:rsidRPr="00931A48" w:rsidRDefault="0061407F" w:rsidP="00D771D8">
      <w:pPr>
        <w:numPr>
          <w:ilvl w:val="1"/>
          <w:numId w:val="16"/>
        </w:numPr>
        <w:tabs>
          <w:tab w:val="num" w:pos="720"/>
        </w:tabs>
        <w:ind w:left="720" w:hanging="720"/>
        <w:rPr>
          <w:rFonts w:asciiTheme="minorHAnsi" w:hAnsiTheme="minorHAnsi"/>
        </w:rPr>
      </w:pPr>
      <w:r w:rsidRPr="00931A48">
        <w:rPr>
          <w:rFonts w:asciiTheme="minorHAnsi" w:hAnsiTheme="minorHAnsi"/>
        </w:rPr>
        <w:t xml:space="preserve">    </w:t>
      </w:r>
      <w:r w:rsidR="00D03532">
        <w:rPr>
          <w:rFonts w:asciiTheme="minorHAnsi" w:hAnsiTheme="minorHAnsi"/>
        </w:rPr>
        <w:t xml:space="preserve">  </w:t>
      </w:r>
      <w:r w:rsidR="00086926">
        <w:rPr>
          <w:rFonts w:asciiTheme="minorHAnsi" w:hAnsiTheme="minorHAnsi"/>
        </w:rPr>
        <w:t xml:space="preserve">  </w:t>
      </w:r>
      <w:r w:rsidR="00D771D8" w:rsidRPr="00931A48">
        <w:rPr>
          <w:rFonts w:asciiTheme="minorHAnsi" w:hAnsiTheme="minorHAnsi"/>
        </w:rPr>
        <w:t>Before the secondment starts, the secondment manager is responsible for ensuring that all checks/Codes as required for the secondment position have been undertaken, concluded or are up to date in respect of the secondee e.g. Barnardo’s Safeguardin</w:t>
      </w:r>
      <w:r w:rsidR="00D771D8" w:rsidRPr="00931A48">
        <w:rPr>
          <w:rFonts w:asciiTheme="minorHAnsi" w:hAnsiTheme="minorHAnsi"/>
        </w:rPr>
        <w:t>g</w:t>
      </w:r>
      <w:r w:rsidR="00D771D8" w:rsidRPr="00931A48">
        <w:rPr>
          <w:rFonts w:asciiTheme="minorHAnsi" w:hAnsiTheme="minorHAnsi"/>
        </w:rPr>
        <w:t xml:space="preserve"> Code of Conduct, references, Disclosure check, professional </w:t>
      </w:r>
      <w:proofErr w:type="gramStart"/>
      <w:r w:rsidR="00D771D8" w:rsidRPr="00931A48">
        <w:rPr>
          <w:rFonts w:asciiTheme="minorHAnsi" w:hAnsiTheme="minorHAnsi"/>
        </w:rPr>
        <w:t>registration</w:t>
      </w:r>
      <w:proofErr w:type="gramEnd"/>
      <w:r w:rsidR="00D771D8" w:rsidRPr="00931A48">
        <w:rPr>
          <w:rFonts w:asciiTheme="minorHAnsi" w:hAnsiTheme="minorHAnsi"/>
        </w:rPr>
        <w:t xml:space="preserve"> and verification that they have not been disqualified from working with </w:t>
      </w:r>
      <w:r w:rsidR="00D771D8" w:rsidRPr="00931A48">
        <w:rPr>
          <w:rFonts w:asciiTheme="minorHAnsi" w:hAnsiTheme="minorHAnsi"/>
        </w:rPr>
        <w:lastRenderedPageBreak/>
        <w:t>children/v</w:t>
      </w:r>
      <w:r w:rsidR="00D771D8" w:rsidRPr="00931A48">
        <w:rPr>
          <w:rFonts w:asciiTheme="minorHAnsi" w:hAnsiTheme="minorHAnsi"/>
        </w:rPr>
        <w:t>u</w:t>
      </w:r>
      <w:r w:rsidR="00D771D8" w:rsidRPr="00931A48">
        <w:rPr>
          <w:rFonts w:asciiTheme="minorHAnsi" w:hAnsiTheme="minorHAnsi"/>
        </w:rPr>
        <w:t xml:space="preserve">lnerable. </w:t>
      </w:r>
      <w:r w:rsidR="00D771D8" w:rsidRPr="00931A48">
        <w:rPr>
          <w:rFonts w:asciiTheme="minorHAnsi" w:hAnsiTheme="minorHAnsi"/>
        </w:rPr>
        <w:br/>
      </w:r>
    </w:p>
    <w:p w14:paraId="2BF15864" w14:textId="1A0A527C" w:rsidR="00D771D8" w:rsidRPr="00931A48" w:rsidRDefault="0061407F" w:rsidP="00D771D8">
      <w:pPr>
        <w:numPr>
          <w:ilvl w:val="1"/>
          <w:numId w:val="16"/>
        </w:numPr>
        <w:tabs>
          <w:tab w:val="num" w:pos="720"/>
        </w:tabs>
        <w:ind w:left="720" w:hanging="720"/>
        <w:rPr>
          <w:rFonts w:asciiTheme="minorHAnsi" w:hAnsiTheme="minorHAnsi"/>
        </w:rPr>
      </w:pPr>
      <w:r w:rsidRPr="00931A48">
        <w:rPr>
          <w:rFonts w:asciiTheme="minorHAnsi" w:hAnsiTheme="minorHAnsi"/>
        </w:rPr>
        <w:t xml:space="preserve">    </w:t>
      </w:r>
      <w:r w:rsidR="00D03532">
        <w:rPr>
          <w:rFonts w:asciiTheme="minorHAnsi" w:hAnsiTheme="minorHAnsi"/>
        </w:rPr>
        <w:t xml:space="preserve">   </w:t>
      </w:r>
      <w:r w:rsidR="00D771D8" w:rsidRPr="00931A48">
        <w:rPr>
          <w:rFonts w:asciiTheme="minorHAnsi" w:hAnsiTheme="minorHAnsi"/>
        </w:rPr>
        <w:t xml:space="preserve">The secondment terms and all arrangements should be discussed and agreed between the parties and the secondment manager must confirm the arrangements in writing to the secondee using the appropriate </w:t>
      </w:r>
      <w:r w:rsidR="00D771D8" w:rsidRPr="00931A48">
        <w:rPr>
          <w:rFonts w:asciiTheme="minorHAnsi" w:hAnsiTheme="minorHAnsi"/>
          <w:color w:val="000000"/>
        </w:rPr>
        <w:t>tem</w:t>
      </w:r>
      <w:r w:rsidR="00D771D8" w:rsidRPr="00931A48">
        <w:rPr>
          <w:rFonts w:asciiTheme="minorHAnsi" w:hAnsiTheme="minorHAnsi"/>
          <w:color w:val="000000"/>
        </w:rPr>
        <w:t>p</w:t>
      </w:r>
      <w:r w:rsidR="00D771D8" w:rsidRPr="00931A48">
        <w:rPr>
          <w:rFonts w:asciiTheme="minorHAnsi" w:hAnsiTheme="minorHAnsi"/>
          <w:color w:val="000000"/>
        </w:rPr>
        <w:t>l</w:t>
      </w:r>
      <w:r w:rsidR="00D771D8" w:rsidRPr="00931A48">
        <w:rPr>
          <w:rFonts w:asciiTheme="minorHAnsi" w:hAnsiTheme="minorHAnsi"/>
          <w:color w:val="000000"/>
        </w:rPr>
        <w:t>a</w:t>
      </w:r>
      <w:r w:rsidR="00D771D8" w:rsidRPr="00931A48">
        <w:rPr>
          <w:rFonts w:asciiTheme="minorHAnsi" w:hAnsiTheme="minorHAnsi"/>
          <w:color w:val="000000"/>
        </w:rPr>
        <w:t>te letter</w:t>
      </w:r>
      <w:r w:rsidR="004F6B51" w:rsidRPr="00931A48">
        <w:rPr>
          <w:rFonts w:asciiTheme="minorHAnsi" w:hAnsiTheme="minorHAnsi"/>
        </w:rPr>
        <w:t>, which can be obtained from your People Team</w:t>
      </w:r>
      <w:r w:rsidR="00D771D8" w:rsidRPr="00931A48">
        <w:rPr>
          <w:rFonts w:asciiTheme="minorHAnsi" w:hAnsiTheme="minorHAnsi"/>
        </w:rPr>
        <w:t xml:space="preserve">. </w:t>
      </w:r>
      <w:r w:rsidR="00D771D8" w:rsidRPr="00931A48">
        <w:rPr>
          <w:rFonts w:asciiTheme="minorHAnsi" w:hAnsiTheme="minorHAnsi"/>
        </w:rPr>
        <w:br/>
      </w:r>
    </w:p>
    <w:p w14:paraId="64D8C985" w14:textId="09D7DE72" w:rsidR="00D771D8" w:rsidRPr="00931A48" w:rsidRDefault="0061407F" w:rsidP="00D771D8">
      <w:pPr>
        <w:numPr>
          <w:ilvl w:val="1"/>
          <w:numId w:val="16"/>
        </w:numPr>
        <w:tabs>
          <w:tab w:val="num" w:pos="720"/>
        </w:tabs>
        <w:ind w:left="720" w:hanging="720"/>
        <w:rPr>
          <w:rFonts w:asciiTheme="minorHAnsi" w:hAnsiTheme="minorHAnsi"/>
        </w:rPr>
      </w:pPr>
      <w:r w:rsidRPr="00931A48">
        <w:rPr>
          <w:rFonts w:asciiTheme="minorHAnsi" w:hAnsiTheme="minorHAnsi"/>
        </w:rPr>
        <w:t xml:space="preserve">   </w:t>
      </w:r>
      <w:r w:rsidR="00D03532">
        <w:rPr>
          <w:rFonts w:asciiTheme="minorHAnsi" w:hAnsiTheme="minorHAnsi"/>
        </w:rPr>
        <w:t xml:space="preserve">   </w:t>
      </w:r>
      <w:r w:rsidRPr="00931A48">
        <w:rPr>
          <w:rFonts w:asciiTheme="minorHAnsi" w:hAnsiTheme="minorHAnsi"/>
        </w:rPr>
        <w:t xml:space="preserve"> </w:t>
      </w:r>
      <w:r w:rsidR="00D771D8" w:rsidRPr="00931A48">
        <w:rPr>
          <w:rFonts w:asciiTheme="minorHAnsi" w:hAnsiTheme="minorHAnsi"/>
        </w:rPr>
        <w:t>Inbound external secondment</w:t>
      </w:r>
      <w:r w:rsidR="00D771D8" w:rsidRPr="00931A48">
        <w:rPr>
          <w:rFonts w:asciiTheme="minorHAnsi" w:hAnsiTheme="minorHAnsi"/>
          <w:i/>
          <w:iCs/>
        </w:rPr>
        <w:t xml:space="preserve"> </w:t>
      </w:r>
      <w:r w:rsidR="00D771D8" w:rsidRPr="00931A48">
        <w:rPr>
          <w:rFonts w:asciiTheme="minorHAnsi" w:hAnsiTheme="minorHAnsi"/>
          <w:iCs/>
        </w:rPr>
        <w:t xml:space="preserve">ONLY: the </w:t>
      </w:r>
      <w:r w:rsidR="00D771D8" w:rsidRPr="00931A48">
        <w:rPr>
          <w:rFonts w:asciiTheme="minorHAnsi" w:hAnsiTheme="minorHAnsi"/>
        </w:rPr>
        <w:t xml:space="preserve">secondment manager must ensure the secondee completes a Contingent Worker Form and that this is forwarded to their People Team to enable them to create a record on Oracle. </w:t>
      </w:r>
      <w:r w:rsidR="00D771D8" w:rsidRPr="00931A48">
        <w:rPr>
          <w:rFonts w:asciiTheme="minorHAnsi" w:hAnsiTheme="minorHAnsi"/>
        </w:rPr>
        <w:br/>
      </w:r>
    </w:p>
    <w:p w14:paraId="6BB7E14F" w14:textId="77777777" w:rsidR="00D771D8" w:rsidRPr="00931A48" w:rsidRDefault="00D771D8" w:rsidP="00D771D8">
      <w:pPr>
        <w:numPr>
          <w:ilvl w:val="1"/>
          <w:numId w:val="16"/>
        </w:numPr>
        <w:tabs>
          <w:tab w:val="num" w:pos="720"/>
        </w:tabs>
        <w:ind w:left="720" w:hanging="720"/>
        <w:rPr>
          <w:rFonts w:asciiTheme="minorHAnsi" w:hAnsiTheme="minorHAnsi"/>
        </w:rPr>
      </w:pPr>
      <w:r w:rsidRPr="00931A48">
        <w:rPr>
          <w:rFonts w:asciiTheme="minorHAnsi" w:hAnsiTheme="minorHAnsi"/>
        </w:rPr>
        <w:t xml:space="preserve">For each arrangement there should be a secondment agreement between the departments/organisations involved.  Where an external organisation is </w:t>
      </w:r>
      <w:r w:rsidR="00974EF8" w:rsidRPr="00931A48">
        <w:rPr>
          <w:rFonts w:asciiTheme="minorHAnsi" w:hAnsiTheme="minorHAnsi"/>
        </w:rPr>
        <w:t>involved,</w:t>
      </w:r>
      <w:r w:rsidRPr="00931A48">
        <w:rPr>
          <w:rFonts w:asciiTheme="minorHAnsi" w:hAnsiTheme="minorHAnsi"/>
        </w:rPr>
        <w:t xml:space="preserve"> there should be a more formal agreement. Refer to </w:t>
      </w:r>
      <w:r w:rsidR="004F6B51" w:rsidRPr="00931A48">
        <w:rPr>
          <w:rFonts w:asciiTheme="minorHAnsi" w:hAnsiTheme="minorHAnsi"/>
        </w:rPr>
        <w:t xml:space="preserve">your People Team for </w:t>
      </w:r>
      <w:r w:rsidR="004F6B51" w:rsidRPr="00931A48">
        <w:rPr>
          <w:rFonts w:asciiTheme="minorHAnsi" w:hAnsiTheme="minorHAnsi"/>
          <w:color w:val="000000"/>
        </w:rPr>
        <w:t>a</w:t>
      </w:r>
      <w:r w:rsidRPr="00931A48">
        <w:rPr>
          <w:rFonts w:asciiTheme="minorHAnsi" w:hAnsiTheme="minorHAnsi"/>
          <w:color w:val="000000"/>
        </w:rPr>
        <w:t>greement te</w:t>
      </w:r>
      <w:r w:rsidRPr="00931A48">
        <w:rPr>
          <w:rFonts w:asciiTheme="minorHAnsi" w:hAnsiTheme="minorHAnsi"/>
          <w:color w:val="000000"/>
        </w:rPr>
        <w:t>m</w:t>
      </w:r>
      <w:r w:rsidRPr="00931A48">
        <w:rPr>
          <w:rFonts w:asciiTheme="minorHAnsi" w:hAnsiTheme="minorHAnsi"/>
          <w:color w:val="000000"/>
        </w:rPr>
        <w:t>plates.</w:t>
      </w:r>
      <w:r w:rsidRPr="00931A48">
        <w:rPr>
          <w:rFonts w:asciiTheme="minorHAnsi" w:hAnsiTheme="minorHAnsi"/>
          <w:color w:val="0000FF"/>
          <w:u w:val="single"/>
        </w:rPr>
        <w:t xml:space="preserve"> </w:t>
      </w:r>
      <w:r w:rsidRPr="00931A48">
        <w:rPr>
          <w:rFonts w:asciiTheme="minorHAnsi" w:hAnsiTheme="minorHAnsi"/>
          <w:color w:val="0000FF"/>
          <w:u w:val="single"/>
        </w:rPr>
        <w:br/>
      </w:r>
    </w:p>
    <w:p w14:paraId="084B866B" w14:textId="77777777" w:rsidR="00D771D8" w:rsidRPr="00931A48" w:rsidRDefault="00D771D8" w:rsidP="00D771D8">
      <w:pPr>
        <w:numPr>
          <w:ilvl w:val="1"/>
          <w:numId w:val="16"/>
        </w:numPr>
        <w:tabs>
          <w:tab w:val="num" w:pos="720"/>
        </w:tabs>
        <w:ind w:left="720" w:hanging="720"/>
        <w:rPr>
          <w:rFonts w:asciiTheme="minorHAnsi" w:hAnsiTheme="minorHAnsi"/>
        </w:rPr>
      </w:pPr>
      <w:r w:rsidRPr="00931A48">
        <w:rPr>
          <w:rFonts w:asciiTheme="minorHAnsi" w:hAnsiTheme="minorHAnsi"/>
        </w:rPr>
        <w:t xml:space="preserve">External inbound secondment ONLY: the secondee will </w:t>
      </w:r>
      <w:bookmarkStart w:id="1" w:name="OLE_LINK1"/>
      <w:bookmarkStart w:id="2" w:name="OLE_LINK2"/>
      <w:r w:rsidRPr="00931A48">
        <w:rPr>
          <w:rFonts w:asciiTheme="minorHAnsi" w:hAnsiTheme="minorHAnsi"/>
        </w:rPr>
        <w:t xml:space="preserve">continue to be subject to the employer’s employment </w:t>
      </w:r>
      <w:r w:rsidR="00974EF8" w:rsidRPr="00931A48">
        <w:rPr>
          <w:rFonts w:asciiTheme="minorHAnsi" w:hAnsiTheme="minorHAnsi"/>
        </w:rPr>
        <w:t>policies</w:t>
      </w:r>
      <w:r w:rsidRPr="00931A48">
        <w:rPr>
          <w:rFonts w:asciiTheme="minorHAnsi" w:hAnsiTheme="minorHAnsi"/>
        </w:rPr>
        <w:t xml:space="preserve"> and procedures/conditions of employment</w:t>
      </w:r>
      <w:bookmarkEnd w:id="1"/>
      <w:bookmarkEnd w:id="2"/>
      <w:r w:rsidRPr="00931A48">
        <w:rPr>
          <w:rFonts w:asciiTheme="minorHAnsi" w:hAnsiTheme="minorHAnsi"/>
        </w:rPr>
        <w:t xml:space="preserve">. </w:t>
      </w:r>
      <w:r w:rsidRPr="00931A48">
        <w:rPr>
          <w:rFonts w:asciiTheme="minorHAnsi" w:hAnsiTheme="minorHAnsi"/>
        </w:rPr>
        <w:t xml:space="preserve"> </w:t>
      </w:r>
      <w:r w:rsidRPr="00931A48">
        <w:rPr>
          <w:rFonts w:asciiTheme="minorHAnsi" w:hAnsiTheme="minorHAnsi"/>
        </w:rPr>
        <w:br/>
      </w:r>
    </w:p>
    <w:p w14:paraId="54706DF1" w14:textId="77777777" w:rsidR="00D771D8" w:rsidRPr="00931A48" w:rsidRDefault="00D771D8" w:rsidP="00D771D8">
      <w:pPr>
        <w:numPr>
          <w:ilvl w:val="1"/>
          <w:numId w:val="16"/>
        </w:numPr>
        <w:tabs>
          <w:tab w:val="num" w:pos="720"/>
        </w:tabs>
        <w:ind w:left="720" w:hanging="720"/>
        <w:rPr>
          <w:rFonts w:asciiTheme="minorHAnsi" w:hAnsiTheme="minorHAnsi"/>
        </w:rPr>
      </w:pPr>
      <w:r w:rsidRPr="00931A48">
        <w:rPr>
          <w:rFonts w:asciiTheme="minorHAnsi" w:hAnsiTheme="minorHAnsi"/>
        </w:rPr>
        <w:t xml:space="preserve">External outbound secondment ONLY: the secondee will continue to be subject to Barnardo’s employment </w:t>
      </w:r>
      <w:r w:rsidR="00974EF8" w:rsidRPr="00931A48">
        <w:rPr>
          <w:rFonts w:asciiTheme="minorHAnsi" w:hAnsiTheme="minorHAnsi"/>
        </w:rPr>
        <w:t>policies</w:t>
      </w:r>
      <w:r w:rsidRPr="00931A48">
        <w:rPr>
          <w:rFonts w:asciiTheme="minorHAnsi" w:hAnsiTheme="minorHAnsi"/>
        </w:rPr>
        <w:t xml:space="preserve"> and procedures/conditions of employment. </w:t>
      </w:r>
      <w:r w:rsidRPr="00931A48">
        <w:rPr>
          <w:rFonts w:asciiTheme="minorHAnsi" w:hAnsiTheme="minorHAnsi"/>
          <w:color w:val="0000FF"/>
          <w:u w:val="single"/>
        </w:rPr>
        <w:br/>
        <w:t xml:space="preserve"> </w:t>
      </w:r>
    </w:p>
    <w:p w14:paraId="7836A3CB" w14:textId="7AA16F92" w:rsidR="00D771D8" w:rsidRPr="00931A48" w:rsidRDefault="00D771D8" w:rsidP="00D771D8">
      <w:pPr>
        <w:numPr>
          <w:ilvl w:val="1"/>
          <w:numId w:val="16"/>
        </w:numPr>
        <w:ind w:left="720" w:hanging="720"/>
        <w:rPr>
          <w:rFonts w:asciiTheme="minorHAnsi" w:hAnsiTheme="minorHAnsi"/>
        </w:rPr>
      </w:pPr>
      <w:r w:rsidRPr="00931A48">
        <w:rPr>
          <w:rFonts w:asciiTheme="minorHAnsi" w:hAnsiTheme="minorHAnsi"/>
        </w:rPr>
        <w:t xml:space="preserve">The secondment manager must ensure that the temporary changes are recorded </w:t>
      </w:r>
      <w:r w:rsidR="00016307">
        <w:rPr>
          <w:rFonts w:asciiTheme="minorHAnsi" w:hAnsiTheme="minorHAnsi"/>
        </w:rPr>
        <w:t xml:space="preserve">on Dynamics 365. </w:t>
      </w:r>
    </w:p>
    <w:p w14:paraId="63369C81" w14:textId="77777777" w:rsidR="00D771D8" w:rsidRPr="00931A48" w:rsidRDefault="00D771D8" w:rsidP="00D771D8">
      <w:pPr>
        <w:rPr>
          <w:rFonts w:asciiTheme="minorHAnsi" w:hAnsiTheme="minorHAnsi"/>
        </w:rPr>
      </w:pPr>
    </w:p>
    <w:p w14:paraId="411EE125" w14:textId="77777777" w:rsidR="00D771D8" w:rsidRPr="00931A48" w:rsidRDefault="00D771D8" w:rsidP="00D771D8">
      <w:pPr>
        <w:numPr>
          <w:ilvl w:val="1"/>
          <w:numId w:val="16"/>
        </w:numPr>
        <w:ind w:left="720" w:hanging="720"/>
        <w:rPr>
          <w:rFonts w:asciiTheme="minorHAnsi" w:hAnsiTheme="minorHAnsi"/>
        </w:rPr>
      </w:pPr>
      <w:r w:rsidRPr="00931A48">
        <w:rPr>
          <w:rFonts w:asciiTheme="minorHAnsi" w:hAnsiTheme="minorHAnsi"/>
        </w:rPr>
        <w:t xml:space="preserve">The secondment manager should ensure that the secondee receives an appropriate induction, training and objectives are agreed for the secondment. </w:t>
      </w:r>
    </w:p>
    <w:p w14:paraId="58B031F0" w14:textId="77777777" w:rsidR="00D771D8" w:rsidRPr="00931A48" w:rsidRDefault="00D771D8" w:rsidP="00D771D8">
      <w:pPr>
        <w:rPr>
          <w:rFonts w:asciiTheme="minorHAnsi" w:hAnsiTheme="minorHAnsi"/>
        </w:rPr>
      </w:pPr>
    </w:p>
    <w:p w14:paraId="7A78BACC" w14:textId="77777777" w:rsidR="00D771D8" w:rsidRPr="00931A48" w:rsidRDefault="00D771D8" w:rsidP="00D771D8">
      <w:pPr>
        <w:numPr>
          <w:ilvl w:val="1"/>
          <w:numId w:val="16"/>
        </w:numPr>
        <w:ind w:left="720" w:hanging="720"/>
        <w:rPr>
          <w:rFonts w:asciiTheme="minorHAnsi" w:hAnsiTheme="minorHAnsi"/>
        </w:rPr>
      </w:pPr>
      <w:r w:rsidRPr="00931A48">
        <w:rPr>
          <w:rFonts w:asciiTheme="minorHAnsi" w:hAnsiTheme="minorHAnsi"/>
        </w:rPr>
        <w:t>The secondment manager must ensure that the secondee is able to keep in touch with their employer/substantive line manager.</w:t>
      </w:r>
      <w:r w:rsidRPr="00931A48">
        <w:rPr>
          <w:rFonts w:asciiTheme="minorHAnsi" w:hAnsiTheme="minorHAnsi"/>
        </w:rPr>
        <w:br/>
      </w:r>
    </w:p>
    <w:p w14:paraId="04A3128F" w14:textId="77777777" w:rsidR="00D771D8" w:rsidRPr="00931A48" w:rsidRDefault="00D771D8" w:rsidP="00D771D8">
      <w:pPr>
        <w:numPr>
          <w:ilvl w:val="1"/>
          <w:numId w:val="16"/>
        </w:numPr>
        <w:ind w:left="720" w:hanging="720"/>
        <w:rPr>
          <w:rFonts w:asciiTheme="minorHAnsi" w:hAnsiTheme="minorHAnsi"/>
        </w:rPr>
      </w:pPr>
      <w:r w:rsidRPr="00931A48">
        <w:rPr>
          <w:rFonts w:asciiTheme="minorHAnsi" w:hAnsiTheme="minorHAnsi"/>
        </w:rPr>
        <w:t xml:space="preserve">The secondment manager should provide effective supervision for the secondee (including performance management and practice supervision) and regular opportunities to jointly review the secondment should be set up (at no less than at 8 weekly intervals). </w:t>
      </w:r>
      <w:r w:rsidRPr="00931A48">
        <w:rPr>
          <w:rFonts w:asciiTheme="minorHAnsi" w:hAnsiTheme="minorHAnsi"/>
        </w:rPr>
        <w:br/>
      </w:r>
    </w:p>
    <w:p w14:paraId="7F0BA188" w14:textId="77777777" w:rsidR="009B4C1E" w:rsidRPr="00931A48" w:rsidRDefault="00D771D8" w:rsidP="004F6B51">
      <w:pPr>
        <w:numPr>
          <w:ilvl w:val="1"/>
          <w:numId w:val="16"/>
        </w:numPr>
        <w:ind w:left="720" w:hanging="720"/>
        <w:rPr>
          <w:rFonts w:asciiTheme="minorHAnsi" w:hAnsiTheme="minorHAnsi"/>
        </w:rPr>
      </w:pPr>
      <w:r w:rsidRPr="00931A48">
        <w:rPr>
          <w:rFonts w:asciiTheme="minorHAnsi" w:hAnsiTheme="minorHAnsi"/>
        </w:rPr>
        <w:t xml:space="preserve">The substantive/secondment manager (as appropriate) must </w:t>
      </w:r>
      <w:proofErr w:type="gramStart"/>
      <w:r w:rsidRPr="00931A48">
        <w:rPr>
          <w:rFonts w:asciiTheme="minorHAnsi" w:hAnsiTheme="minorHAnsi"/>
        </w:rPr>
        <w:t>make arrangements</w:t>
      </w:r>
      <w:proofErr w:type="gramEnd"/>
      <w:r w:rsidRPr="00931A48">
        <w:rPr>
          <w:rFonts w:asciiTheme="minorHAnsi" w:hAnsiTheme="minorHAnsi"/>
        </w:rPr>
        <w:t xml:space="preserve"> in conjunction with the secondee to ensure that the professional qualifications/registrations required for the substantive/secondment post are kept up to date, this includes where a secondment involves an external organisation. </w:t>
      </w:r>
    </w:p>
    <w:p w14:paraId="7C40D756" w14:textId="77777777" w:rsidR="00D771D8" w:rsidRPr="00931A48" w:rsidRDefault="00D771D8" w:rsidP="009B4C1E">
      <w:pPr>
        <w:ind w:left="720"/>
        <w:rPr>
          <w:rStyle w:val="Strong"/>
          <w:rFonts w:asciiTheme="minorHAnsi" w:hAnsiTheme="minorHAnsi"/>
          <w:sz w:val="24"/>
        </w:rPr>
      </w:pPr>
      <w:r w:rsidRPr="00931A48">
        <w:rPr>
          <w:rFonts w:asciiTheme="minorHAnsi" w:hAnsiTheme="minorHAnsi"/>
        </w:rPr>
        <w:br/>
      </w:r>
      <w:r w:rsidRPr="00931A48">
        <w:rPr>
          <w:rStyle w:val="Strong"/>
          <w:rFonts w:asciiTheme="minorHAnsi" w:hAnsiTheme="minorHAnsi"/>
          <w:sz w:val="24"/>
        </w:rPr>
        <w:t>Managing the Return</w:t>
      </w:r>
    </w:p>
    <w:p w14:paraId="5E920509" w14:textId="77777777" w:rsidR="009B4C1E" w:rsidRPr="00931A48" w:rsidRDefault="009B4C1E" w:rsidP="009B4C1E">
      <w:pPr>
        <w:ind w:left="720"/>
        <w:rPr>
          <w:rStyle w:val="Strong"/>
          <w:rFonts w:asciiTheme="minorHAnsi" w:hAnsiTheme="minorHAnsi"/>
          <w:b w:val="0"/>
          <w:bCs w:val="0"/>
          <w:sz w:val="24"/>
        </w:rPr>
      </w:pPr>
    </w:p>
    <w:p w14:paraId="22D821C8" w14:textId="77777777" w:rsidR="00D771D8" w:rsidRPr="00931A48" w:rsidRDefault="00D771D8" w:rsidP="00D771D8">
      <w:pPr>
        <w:numPr>
          <w:ilvl w:val="1"/>
          <w:numId w:val="16"/>
        </w:numPr>
        <w:ind w:left="720" w:hanging="720"/>
        <w:rPr>
          <w:rFonts w:asciiTheme="minorHAnsi" w:hAnsiTheme="minorHAnsi"/>
        </w:rPr>
      </w:pPr>
      <w:r w:rsidRPr="00931A48">
        <w:rPr>
          <w:rFonts w:asciiTheme="minorHAnsi" w:hAnsiTheme="minorHAnsi"/>
        </w:rPr>
        <w:t xml:space="preserve">Before the end of the secondment and in the case of </w:t>
      </w:r>
      <w:r w:rsidR="00974EF8" w:rsidRPr="00931A48">
        <w:rPr>
          <w:rFonts w:asciiTheme="minorHAnsi" w:hAnsiTheme="minorHAnsi"/>
        </w:rPr>
        <w:t>longer-term</w:t>
      </w:r>
      <w:r w:rsidRPr="00931A48">
        <w:rPr>
          <w:rFonts w:asciiTheme="minorHAnsi" w:hAnsiTheme="minorHAnsi"/>
        </w:rPr>
        <w:t xml:space="preserve"> secondments, at least 4 weeks before, the substantive manager should meet with the secondee to discuss handover and the arrangements for returning to their substantive post or an extension if this has been requested.  This should include a discussion about any changes that have occurred during the secondment e.g. to their role, working practices, the team/department.</w:t>
      </w:r>
      <w:r w:rsidRPr="00931A48">
        <w:rPr>
          <w:rFonts w:asciiTheme="minorHAnsi" w:hAnsiTheme="minorHAnsi"/>
        </w:rPr>
        <w:br/>
      </w:r>
    </w:p>
    <w:p w14:paraId="5894C4A1" w14:textId="2CBDA333" w:rsidR="00D771D8" w:rsidRPr="00931A48" w:rsidRDefault="00D771D8" w:rsidP="00D771D8">
      <w:pPr>
        <w:numPr>
          <w:ilvl w:val="1"/>
          <w:numId w:val="16"/>
        </w:numPr>
        <w:ind w:left="720" w:hanging="720"/>
        <w:rPr>
          <w:rFonts w:asciiTheme="minorHAnsi" w:hAnsiTheme="minorHAnsi"/>
        </w:rPr>
      </w:pPr>
      <w:r w:rsidRPr="00931A48">
        <w:rPr>
          <w:rFonts w:asciiTheme="minorHAnsi" w:hAnsiTheme="minorHAnsi"/>
        </w:rPr>
        <w:lastRenderedPageBreak/>
        <w:t xml:space="preserve">Internal secondments ONLY- In discussion and agreement with the secondee and the substantive manager, the secondment manager (with reference to the People Team) may determine a one-off, </w:t>
      </w:r>
      <w:r w:rsidR="00974EF8" w:rsidRPr="00931A48">
        <w:rPr>
          <w:rFonts w:asciiTheme="minorHAnsi" w:hAnsiTheme="minorHAnsi"/>
        </w:rPr>
        <w:t>short-term</w:t>
      </w:r>
      <w:r w:rsidRPr="00931A48">
        <w:rPr>
          <w:rFonts w:asciiTheme="minorHAnsi" w:hAnsiTheme="minorHAnsi"/>
        </w:rPr>
        <w:t xml:space="preserve"> extension of up to 6 months to a total maximum of 12 months.  If an extension of more than 6 months is required, the secondment manager must consider the need to repeat the secondment procedure </w:t>
      </w:r>
      <w:proofErr w:type="gramStart"/>
      <w:r w:rsidRPr="00931A48">
        <w:rPr>
          <w:rFonts w:asciiTheme="minorHAnsi" w:hAnsiTheme="minorHAnsi"/>
        </w:rPr>
        <w:t>in order to</w:t>
      </w:r>
      <w:proofErr w:type="gramEnd"/>
      <w:r w:rsidRPr="00931A48">
        <w:rPr>
          <w:rFonts w:asciiTheme="minorHAnsi" w:hAnsiTheme="minorHAnsi"/>
        </w:rPr>
        <w:t xml:space="preserve"> give other employees the opportunity to apply.</w:t>
      </w:r>
      <w:r w:rsidRPr="00931A48">
        <w:rPr>
          <w:rFonts w:asciiTheme="minorHAnsi" w:hAnsiTheme="minorHAnsi"/>
        </w:rPr>
        <w:br/>
      </w:r>
    </w:p>
    <w:p w14:paraId="5E483F8F" w14:textId="77777777" w:rsidR="00D771D8" w:rsidRPr="00931A48" w:rsidRDefault="00D771D8" w:rsidP="00D771D8">
      <w:pPr>
        <w:numPr>
          <w:ilvl w:val="1"/>
          <w:numId w:val="16"/>
        </w:numPr>
        <w:ind w:left="720" w:hanging="720"/>
        <w:rPr>
          <w:rFonts w:asciiTheme="minorHAnsi" w:hAnsiTheme="minorHAnsi"/>
        </w:rPr>
      </w:pPr>
      <w:r w:rsidRPr="00931A48">
        <w:rPr>
          <w:rFonts w:asciiTheme="minorHAnsi" w:hAnsiTheme="minorHAnsi"/>
        </w:rPr>
        <w:t xml:space="preserve">External outbound secondments ONLY – Such secondments should be for a maximum of 12 months unless exceptional circumstances apply. In which case further grandparent manager approval must be sought in consultation with the People Team before any extension beyond 12 months can be authorised. </w:t>
      </w:r>
      <w:r w:rsidRPr="00931A48">
        <w:rPr>
          <w:rFonts w:asciiTheme="minorHAnsi" w:hAnsiTheme="minorHAnsi"/>
        </w:rPr>
        <w:br/>
      </w:r>
    </w:p>
    <w:p w14:paraId="14BB4072" w14:textId="77777777" w:rsidR="00974EF8" w:rsidRPr="00931A48" w:rsidRDefault="00974EF8" w:rsidP="00974EF8">
      <w:pPr>
        <w:pStyle w:val="Heading1"/>
        <w:rPr>
          <w:rFonts w:asciiTheme="minorHAnsi" w:hAnsiTheme="minorHAnsi"/>
          <w:b/>
          <w:bCs w:val="0"/>
          <w:sz w:val="24"/>
          <w:szCs w:val="24"/>
          <w:lang w:val="en-US"/>
        </w:rPr>
      </w:pPr>
      <w:r w:rsidRPr="00931A48">
        <w:rPr>
          <w:rFonts w:asciiTheme="minorHAnsi" w:hAnsiTheme="minorHAnsi"/>
          <w:b/>
          <w:bCs w:val="0"/>
          <w:sz w:val="24"/>
          <w:szCs w:val="24"/>
          <w:lang w:val="en-US"/>
        </w:rPr>
        <w:t xml:space="preserve">Document </w:t>
      </w:r>
      <w:proofErr w:type="gramStart"/>
      <w:r w:rsidRPr="00931A48">
        <w:rPr>
          <w:rFonts w:asciiTheme="minorHAnsi" w:hAnsiTheme="minorHAnsi"/>
          <w:b/>
          <w:bCs w:val="0"/>
          <w:sz w:val="24"/>
          <w:szCs w:val="24"/>
          <w:lang w:val="en-US"/>
        </w:rPr>
        <w:t>history</w:t>
      </w:r>
      <w:proofErr w:type="gramEnd"/>
    </w:p>
    <w:tbl>
      <w:tblPr>
        <w:tblW w:w="9490" w:type="dxa"/>
        <w:tblCellSpacing w:w="0" w:type="dxa"/>
        <w:tblInd w:w="38"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000" w:firstRow="0" w:lastRow="0" w:firstColumn="0" w:lastColumn="0" w:noHBand="0" w:noVBand="0"/>
      </w:tblPr>
      <w:tblGrid>
        <w:gridCol w:w="1290"/>
        <w:gridCol w:w="1679"/>
        <w:gridCol w:w="1276"/>
        <w:gridCol w:w="1559"/>
        <w:gridCol w:w="3686"/>
      </w:tblGrid>
      <w:tr w:rsidR="00974EF8" w:rsidRPr="00931A48" w14:paraId="70DBA2C1" w14:textId="77777777" w:rsidTr="00B86383">
        <w:trPr>
          <w:tblCellSpacing w:w="0" w:type="dxa"/>
        </w:trPr>
        <w:tc>
          <w:tcPr>
            <w:tcW w:w="1290" w:type="dxa"/>
            <w:tcBorders>
              <w:top w:val="outset" w:sz="6" w:space="0" w:color="auto"/>
              <w:left w:val="outset" w:sz="6" w:space="0" w:color="auto"/>
              <w:bottom w:val="outset" w:sz="6" w:space="0" w:color="auto"/>
              <w:right w:val="outset" w:sz="6" w:space="0" w:color="auto"/>
            </w:tcBorders>
          </w:tcPr>
          <w:p w14:paraId="6EA413AD" w14:textId="77777777" w:rsidR="00974EF8" w:rsidRPr="00931A48" w:rsidRDefault="00974EF8" w:rsidP="00B86383">
            <w:pPr>
              <w:rPr>
                <w:rFonts w:asciiTheme="minorHAnsi" w:hAnsiTheme="minorHAnsi" w:cs="Tahoma"/>
                <w:lang w:val="en-US"/>
              </w:rPr>
            </w:pPr>
            <w:r w:rsidRPr="00931A48">
              <w:rPr>
                <w:rFonts w:asciiTheme="minorHAnsi" w:hAnsiTheme="minorHAnsi" w:cs="Tahoma"/>
                <w:lang w:val="en-US"/>
              </w:rPr>
              <w:t> </w:t>
            </w:r>
            <w:r w:rsidRPr="00931A48">
              <w:rPr>
                <w:rFonts w:asciiTheme="minorHAnsi" w:hAnsiTheme="minorHAnsi" w:cs="Arial"/>
                <w:b/>
                <w:bCs/>
                <w:lang w:val="en-US"/>
              </w:rPr>
              <w:t>Version</w:t>
            </w:r>
          </w:p>
        </w:tc>
        <w:tc>
          <w:tcPr>
            <w:tcW w:w="1679" w:type="dxa"/>
            <w:tcBorders>
              <w:top w:val="outset" w:sz="6" w:space="0" w:color="auto"/>
              <w:left w:val="outset" w:sz="6" w:space="0" w:color="auto"/>
              <w:bottom w:val="outset" w:sz="6" w:space="0" w:color="auto"/>
              <w:right w:val="outset" w:sz="6" w:space="0" w:color="auto"/>
            </w:tcBorders>
          </w:tcPr>
          <w:p w14:paraId="2793D1E1" w14:textId="77777777" w:rsidR="00974EF8" w:rsidRPr="00931A48" w:rsidRDefault="00974EF8" w:rsidP="00B86383">
            <w:pPr>
              <w:rPr>
                <w:rFonts w:asciiTheme="minorHAnsi" w:hAnsiTheme="minorHAnsi" w:cs="Tahoma"/>
                <w:lang w:val="en-US"/>
              </w:rPr>
            </w:pPr>
            <w:r w:rsidRPr="00931A48">
              <w:rPr>
                <w:rFonts w:asciiTheme="minorHAnsi" w:hAnsiTheme="minorHAnsi" w:cs="Arial"/>
                <w:b/>
                <w:bCs/>
                <w:lang w:val="en-US"/>
              </w:rPr>
              <w:t>Date</w:t>
            </w:r>
          </w:p>
        </w:tc>
        <w:tc>
          <w:tcPr>
            <w:tcW w:w="1276" w:type="dxa"/>
            <w:tcBorders>
              <w:top w:val="outset" w:sz="6" w:space="0" w:color="auto"/>
              <w:left w:val="outset" w:sz="6" w:space="0" w:color="auto"/>
              <w:bottom w:val="outset" w:sz="6" w:space="0" w:color="auto"/>
              <w:right w:val="outset" w:sz="6" w:space="0" w:color="auto"/>
            </w:tcBorders>
          </w:tcPr>
          <w:p w14:paraId="6CE76C4B" w14:textId="77777777" w:rsidR="00974EF8" w:rsidRPr="00931A48" w:rsidRDefault="00974EF8" w:rsidP="00B86383">
            <w:pPr>
              <w:rPr>
                <w:rFonts w:asciiTheme="minorHAnsi" w:hAnsiTheme="minorHAnsi" w:cs="Tahoma"/>
                <w:lang w:val="en-US"/>
              </w:rPr>
            </w:pPr>
            <w:r w:rsidRPr="00931A48">
              <w:rPr>
                <w:rFonts w:asciiTheme="minorHAnsi" w:hAnsiTheme="minorHAnsi" w:cs="Arial"/>
                <w:b/>
                <w:bCs/>
                <w:lang w:val="en-US"/>
              </w:rPr>
              <w:t>Author</w:t>
            </w:r>
          </w:p>
        </w:tc>
        <w:tc>
          <w:tcPr>
            <w:tcW w:w="1559" w:type="dxa"/>
            <w:tcBorders>
              <w:top w:val="outset" w:sz="6" w:space="0" w:color="auto"/>
              <w:left w:val="outset" w:sz="6" w:space="0" w:color="auto"/>
              <w:bottom w:val="outset" w:sz="6" w:space="0" w:color="auto"/>
              <w:right w:val="outset" w:sz="6" w:space="0" w:color="auto"/>
            </w:tcBorders>
          </w:tcPr>
          <w:p w14:paraId="053264FF" w14:textId="77777777" w:rsidR="00974EF8" w:rsidRPr="00931A48" w:rsidRDefault="00974EF8" w:rsidP="00B86383">
            <w:pPr>
              <w:rPr>
                <w:rFonts w:asciiTheme="minorHAnsi" w:hAnsiTheme="minorHAnsi" w:cs="Tahoma"/>
                <w:lang w:val="en-US"/>
              </w:rPr>
            </w:pPr>
            <w:r w:rsidRPr="00931A48">
              <w:rPr>
                <w:rFonts w:asciiTheme="minorHAnsi" w:hAnsiTheme="minorHAnsi" w:cs="Arial"/>
                <w:b/>
                <w:bCs/>
                <w:lang w:val="en-US"/>
              </w:rPr>
              <w:t>Status</w:t>
            </w:r>
          </w:p>
        </w:tc>
        <w:tc>
          <w:tcPr>
            <w:tcW w:w="3686" w:type="dxa"/>
            <w:tcBorders>
              <w:top w:val="outset" w:sz="6" w:space="0" w:color="auto"/>
              <w:left w:val="outset" w:sz="6" w:space="0" w:color="auto"/>
              <w:bottom w:val="outset" w:sz="6" w:space="0" w:color="auto"/>
              <w:right w:val="outset" w:sz="6" w:space="0" w:color="auto"/>
            </w:tcBorders>
          </w:tcPr>
          <w:p w14:paraId="795945E7" w14:textId="77777777" w:rsidR="00974EF8" w:rsidRPr="00931A48" w:rsidRDefault="00974EF8" w:rsidP="00B86383">
            <w:pPr>
              <w:rPr>
                <w:rFonts w:asciiTheme="minorHAnsi" w:hAnsiTheme="minorHAnsi" w:cs="Tahoma"/>
                <w:lang w:val="en-US"/>
              </w:rPr>
            </w:pPr>
            <w:r w:rsidRPr="00931A48">
              <w:rPr>
                <w:rFonts w:asciiTheme="minorHAnsi" w:hAnsiTheme="minorHAnsi" w:cs="Arial"/>
                <w:b/>
                <w:bCs/>
                <w:lang w:val="en-US"/>
              </w:rPr>
              <w:t>Comment</w:t>
            </w:r>
          </w:p>
        </w:tc>
      </w:tr>
      <w:tr w:rsidR="00974EF8" w:rsidRPr="00931A48" w14:paraId="21B8D5F9" w14:textId="77777777" w:rsidTr="00B86383">
        <w:trPr>
          <w:tblCellSpacing w:w="0" w:type="dxa"/>
        </w:trPr>
        <w:tc>
          <w:tcPr>
            <w:tcW w:w="1290" w:type="dxa"/>
            <w:tcBorders>
              <w:top w:val="outset" w:sz="6" w:space="0" w:color="auto"/>
              <w:left w:val="outset" w:sz="6" w:space="0" w:color="auto"/>
              <w:bottom w:val="outset" w:sz="6" w:space="0" w:color="auto"/>
              <w:right w:val="outset" w:sz="6" w:space="0" w:color="auto"/>
            </w:tcBorders>
          </w:tcPr>
          <w:p w14:paraId="34FFBF6C" w14:textId="77777777" w:rsidR="00974EF8" w:rsidRPr="00931A48" w:rsidRDefault="00974EF8" w:rsidP="00B86383">
            <w:pPr>
              <w:tabs>
                <w:tab w:val="left" w:pos="780"/>
              </w:tabs>
              <w:rPr>
                <w:rFonts w:asciiTheme="minorHAnsi" w:hAnsiTheme="minorHAnsi" w:cs="Tahoma"/>
                <w:lang w:val="en-US"/>
              </w:rPr>
            </w:pPr>
            <w:r w:rsidRPr="00931A48">
              <w:rPr>
                <w:rFonts w:asciiTheme="minorHAnsi" w:hAnsiTheme="minorHAnsi" w:cs="Tahoma"/>
                <w:lang w:val="en-US"/>
              </w:rPr>
              <w:t>1.0</w:t>
            </w:r>
          </w:p>
        </w:tc>
        <w:tc>
          <w:tcPr>
            <w:tcW w:w="1679" w:type="dxa"/>
            <w:tcBorders>
              <w:top w:val="outset" w:sz="6" w:space="0" w:color="auto"/>
              <w:left w:val="outset" w:sz="6" w:space="0" w:color="auto"/>
              <w:bottom w:val="outset" w:sz="6" w:space="0" w:color="auto"/>
              <w:right w:val="outset" w:sz="6" w:space="0" w:color="auto"/>
            </w:tcBorders>
          </w:tcPr>
          <w:p w14:paraId="525F6F12" w14:textId="77777777" w:rsidR="00974EF8" w:rsidRPr="00931A48" w:rsidRDefault="00974EF8" w:rsidP="00B86383">
            <w:pPr>
              <w:autoSpaceDE w:val="0"/>
              <w:autoSpaceDN w:val="0"/>
              <w:adjustRightInd w:val="0"/>
              <w:rPr>
                <w:rFonts w:asciiTheme="minorHAnsi" w:hAnsiTheme="minorHAnsi" w:cs="Arial"/>
                <w:lang w:val="en-US"/>
              </w:rPr>
            </w:pPr>
            <w:r w:rsidRPr="00931A48">
              <w:rPr>
                <w:rFonts w:asciiTheme="minorHAnsi" w:hAnsiTheme="minorHAnsi" w:cs="Arial"/>
                <w:lang w:val="en-US"/>
              </w:rPr>
              <w:t>01.04.2011</w:t>
            </w:r>
          </w:p>
        </w:tc>
        <w:tc>
          <w:tcPr>
            <w:tcW w:w="1276" w:type="dxa"/>
            <w:tcBorders>
              <w:top w:val="outset" w:sz="6" w:space="0" w:color="auto"/>
              <w:left w:val="outset" w:sz="6" w:space="0" w:color="auto"/>
              <w:bottom w:val="outset" w:sz="6" w:space="0" w:color="auto"/>
              <w:right w:val="outset" w:sz="6" w:space="0" w:color="auto"/>
            </w:tcBorders>
          </w:tcPr>
          <w:p w14:paraId="3234E167" w14:textId="77777777" w:rsidR="00974EF8" w:rsidRPr="00931A48" w:rsidRDefault="00974EF8" w:rsidP="00B86383">
            <w:pPr>
              <w:rPr>
                <w:rFonts w:asciiTheme="minorHAnsi" w:hAnsiTheme="minorHAnsi" w:cs="Tahoma"/>
                <w:lang w:val="en-US"/>
              </w:rPr>
            </w:pPr>
          </w:p>
        </w:tc>
        <w:tc>
          <w:tcPr>
            <w:tcW w:w="1559" w:type="dxa"/>
            <w:tcBorders>
              <w:top w:val="outset" w:sz="6" w:space="0" w:color="auto"/>
              <w:left w:val="outset" w:sz="6" w:space="0" w:color="auto"/>
              <w:bottom w:val="outset" w:sz="6" w:space="0" w:color="auto"/>
              <w:right w:val="outset" w:sz="6" w:space="0" w:color="auto"/>
            </w:tcBorders>
          </w:tcPr>
          <w:p w14:paraId="31B7FA6B" w14:textId="77777777" w:rsidR="00974EF8" w:rsidRPr="00931A48" w:rsidRDefault="00974EF8" w:rsidP="00B86383">
            <w:pPr>
              <w:rPr>
                <w:rFonts w:asciiTheme="minorHAnsi" w:hAnsiTheme="minorHAnsi" w:cs="Tahoma"/>
                <w:lang w:val="en-US"/>
              </w:rPr>
            </w:pPr>
          </w:p>
        </w:tc>
        <w:tc>
          <w:tcPr>
            <w:tcW w:w="3686" w:type="dxa"/>
            <w:tcBorders>
              <w:top w:val="outset" w:sz="6" w:space="0" w:color="auto"/>
              <w:left w:val="outset" w:sz="6" w:space="0" w:color="auto"/>
              <w:bottom w:val="outset" w:sz="6" w:space="0" w:color="auto"/>
              <w:right w:val="outset" w:sz="6" w:space="0" w:color="auto"/>
            </w:tcBorders>
          </w:tcPr>
          <w:p w14:paraId="7A0EB814" w14:textId="77777777" w:rsidR="00974EF8" w:rsidRPr="00931A48" w:rsidRDefault="00974EF8" w:rsidP="00B86383">
            <w:pPr>
              <w:rPr>
                <w:rFonts w:asciiTheme="minorHAnsi" w:hAnsiTheme="minorHAnsi" w:cs="Tahoma"/>
                <w:lang w:val="en-US"/>
              </w:rPr>
            </w:pPr>
            <w:r w:rsidRPr="00931A48">
              <w:rPr>
                <w:rFonts w:asciiTheme="minorHAnsi" w:hAnsiTheme="minorHAnsi" w:cs="Tahoma"/>
                <w:lang w:val="en-US"/>
              </w:rPr>
              <w:t>Created</w:t>
            </w:r>
          </w:p>
        </w:tc>
      </w:tr>
      <w:tr w:rsidR="00974EF8" w:rsidRPr="00931A48" w14:paraId="6210D2DB" w14:textId="77777777" w:rsidTr="00B86383">
        <w:trPr>
          <w:tblCellSpacing w:w="0" w:type="dxa"/>
        </w:trPr>
        <w:tc>
          <w:tcPr>
            <w:tcW w:w="1290" w:type="dxa"/>
            <w:tcBorders>
              <w:top w:val="outset" w:sz="6" w:space="0" w:color="auto"/>
              <w:left w:val="outset" w:sz="6" w:space="0" w:color="auto"/>
              <w:bottom w:val="outset" w:sz="6" w:space="0" w:color="auto"/>
              <w:right w:val="outset" w:sz="6" w:space="0" w:color="auto"/>
            </w:tcBorders>
          </w:tcPr>
          <w:p w14:paraId="4AF56AED" w14:textId="77777777" w:rsidR="00974EF8" w:rsidRPr="00931A48" w:rsidRDefault="00974EF8" w:rsidP="00B86383">
            <w:pPr>
              <w:tabs>
                <w:tab w:val="left" w:pos="780"/>
              </w:tabs>
              <w:rPr>
                <w:rFonts w:asciiTheme="minorHAnsi" w:hAnsiTheme="minorHAnsi" w:cs="Tahoma"/>
                <w:lang w:val="en-US"/>
              </w:rPr>
            </w:pPr>
            <w:bookmarkStart w:id="3" w:name="_Hlk109902066"/>
            <w:r w:rsidRPr="00931A48">
              <w:rPr>
                <w:rFonts w:asciiTheme="minorHAnsi" w:hAnsiTheme="minorHAnsi" w:cs="Tahoma"/>
                <w:lang w:val="en-US"/>
              </w:rPr>
              <w:t>1.1</w:t>
            </w:r>
          </w:p>
        </w:tc>
        <w:tc>
          <w:tcPr>
            <w:tcW w:w="1679" w:type="dxa"/>
            <w:tcBorders>
              <w:top w:val="outset" w:sz="6" w:space="0" w:color="auto"/>
              <w:left w:val="outset" w:sz="6" w:space="0" w:color="auto"/>
              <w:bottom w:val="outset" w:sz="6" w:space="0" w:color="auto"/>
              <w:right w:val="outset" w:sz="6" w:space="0" w:color="auto"/>
            </w:tcBorders>
          </w:tcPr>
          <w:p w14:paraId="4413EC26" w14:textId="77777777" w:rsidR="00974EF8" w:rsidRPr="00931A48" w:rsidRDefault="00974EF8" w:rsidP="00B86383">
            <w:pPr>
              <w:autoSpaceDE w:val="0"/>
              <w:autoSpaceDN w:val="0"/>
              <w:adjustRightInd w:val="0"/>
              <w:rPr>
                <w:rFonts w:asciiTheme="minorHAnsi" w:hAnsiTheme="minorHAnsi" w:cs="Arial"/>
                <w:lang w:val="en-US"/>
              </w:rPr>
            </w:pPr>
            <w:r w:rsidRPr="00931A48">
              <w:rPr>
                <w:rFonts w:asciiTheme="minorHAnsi" w:hAnsiTheme="minorHAnsi" w:cs="Arial"/>
                <w:lang w:val="en-US"/>
              </w:rPr>
              <w:t>01.08.2022</w:t>
            </w:r>
          </w:p>
        </w:tc>
        <w:tc>
          <w:tcPr>
            <w:tcW w:w="1276" w:type="dxa"/>
            <w:tcBorders>
              <w:top w:val="outset" w:sz="6" w:space="0" w:color="auto"/>
              <w:left w:val="outset" w:sz="6" w:space="0" w:color="auto"/>
              <w:bottom w:val="outset" w:sz="6" w:space="0" w:color="auto"/>
              <w:right w:val="outset" w:sz="6" w:space="0" w:color="auto"/>
            </w:tcBorders>
          </w:tcPr>
          <w:p w14:paraId="4B5756C7" w14:textId="77777777" w:rsidR="00974EF8" w:rsidRPr="00931A48" w:rsidRDefault="00974EF8" w:rsidP="00B86383">
            <w:pPr>
              <w:rPr>
                <w:rFonts w:asciiTheme="minorHAnsi" w:hAnsiTheme="minorHAnsi" w:cs="Tahoma"/>
                <w:lang w:val="en-US"/>
              </w:rPr>
            </w:pPr>
            <w:r w:rsidRPr="00931A48">
              <w:rPr>
                <w:rFonts w:asciiTheme="minorHAnsi" w:hAnsiTheme="minorHAnsi" w:cs="Tahoma"/>
                <w:lang w:val="en-US"/>
              </w:rPr>
              <w:t>People Strategy &amp; Projects Team</w:t>
            </w:r>
          </w:p>
        </w:tc>
        <w:tc>
          <w:tcPr>
            <w:tcW w:w="1559" w:type="dxa"/>
            <w:tcBorders>
              <w:top w:val="outset" w:sz="6" w:space="0" w:color="auto"/>
              <w:left w:val="outset" w:sz="6" w:space="0" w:color="auto"/>
              <w:bottom w:val="outset" w:sz="6" w:space="0" w:color="auto"/>
              <w:right w:val="outset" w:sz="6" w:space="0" w:color="auto"/>
            </w:tcBorders>
          </w:tcPr>
          <w:p w14:paraId="70A8FC7D" w14:textId="77777777" w:rsidR="00974EF8" w:rsidRPr="00931A48" w:rsidRDefault="00974EF8" w:rsidP="00B86383">
            <w:pPr>
              <w:rPr>
                <w:rFonts w:asciiTheme="minorHAnsi" w:hAnsiTheme="minorHAnsi" w:cs="Tahoma"/>
                <w:lang w:val="en-US"/>
              </w:rPr>
            </w:pPr>
            <w:r w:rsidRPr="00931A48">
              <w:rPr>
                <w:rFonts w:asciiTheme="minorHAnsi" w:hAnsiTheme="minorHAnsi" w:cs="Tahoma"/>
                <w:lang w:val="en-US"/>
              </w:rPr>
              <w:t>Active</w:t>
            </w:r>
          </w:p>
        </w:tc>
        <w:tc>
          <w:tcPr>
            <w:tcW w:w="3686" w:type="dxa"/>
            <w:tcBorders>
              <w:top w:val="outset" w:sz="6" w:space="0" w:color="auto"/>
              <w:left w:val="outset" w:sz="6" w:space="0" w:color="auto"/>
              <w:bottom w:val="outset" w:sz="6" w:space="0" w:color="auto"/>
              <w:right w:val="outset" w:sz="6" w:space="0" w:color="auto"/>
            </w:tcBorders>
          </w:tcPr>
          <w:p w14:paraId="1DEB2C57" w14:textId="77777777" w:rsidR="00974EF8" w:rsidRPr="00931A48" w:rsidRDefault="00DF3409" w:rsidP="00B86383">
            <w:pPr>
              <w:rPr>
                <w:rFonts w:asciiTheme="minorHAnsi" w:hAnsiTheme="minorHAnsi" w:cs="Tahoma"/>
                <w:lang w:val="en-US"/>
              </w:rPr>
            </w:pPr>
            <w:r w:rsidRPr="00931A48">
              <w:rPr>
                <w:rFonts w:asciiTheme="minorHAnsi" w:eastAsia="Calibri" w:hAnsiTheme="minorHAnsi" w:cs="Tahoma"/>
                <w:lang w:val="en-US"/>
              </w:rPr>
              <w:t>Updated to reflect agreed review date</w:t>
            </w:r>
          </w:p>
        </w:tc>
      </w:tr>
      <w:tr w:rsidR="002966CB" w:rsidRPr="00931A48" w14:paraId="1DA16095" w14:textId="77777777" w:rsidTr="00B86383">
        <w:trPr>
          <w:tblCellSpacing w:w="0" w:type="dxa"/>
        </w:trPr>
        <w:tc>
          <w:tcPr>
            <w:tcW w:w="1290" w:type="dxa"/>
            <w:tcBorders>
              <w:top w:val="outset" w:sz="6" w:space="0" w:color="auto"/>
              <w:left w:val="outset" w:sz="6" w:space="0" w:color="auto"/>
              <w:bottom w:val="outset" w:sz="6" w:space="0" w:color="auto"/>
              <w:right w:val="outset" w:sz="6" w:space="0" w:color="auto"/>
            </w:tcBorders>
          </w:tcPr>
          <w:p w14:paraId="3A75FFD0" w14:textId="77777777" w:rsidR="002966CB" w:rsidRPr="00931A48" w:rsidRDefault="002966CB" w:rsidP="00B86383">
            <w:pPr>
              <w:tabs>
                <w:tab w:val="left" w:pos="780"/>
              </w:tabs>
              <w:rPr>
                <w:rFonts w:asciiTheme="minorHAnsi" w:hAnsiTheme="minorHAnsi" w:cs="Tahoma"/>
                <w:lang w:val="en-US"/>
              </w:rPr>
            </w:pPr>
            <w:r w:rsidRPr="00931A48">
              <w:rPr>
                <w:rFonts w:asciiTheme="minorHAnsi" w:hAnsiTheme="minorHAnsi" w:cs="Tahoma"/>
                <w:lang w:val="en-US"/>
              </w:rPr>
              <w:t>1.2</w:t>
            </w:r>
          </w:p>
        </w:tc>
        <w:tc>
          <w:tcPr>
            <w:tcW w:w="1679" w:type="dxa"/>
            <w:tcBorders>
              <w:top w:val="outset" w:sz="6" w:space="0" w:color="auto"/>
              <w:left w:val="outset" w:sz="6" w:space="0" w:color="auto"/>
              <w:bottom w:val="outset" w:sz="6" w:space="0" w:color="auto"/>
              <w:right w:val="outset" w:sz="6" w:space="0" w:color="auto"/>
            </w:tcBorders>
          </w:tcPr>
          <w:p w14:paraId="5BE3A9C0" w14:textId="77777777" w:rsidR="002966CB" w:rsidRPr="00931A48" w:rsidRDefault="002329D4" w:rsidP="00B86383">
            <w:pPr>
              <w:autoSpaceDE w:val="0"/>
              <w:autoSpaceDN w:val="0"/>
              <w:adjustRightInd w:val="0"/>
              <w:rPr>
                <w:rFonts w:asciiTheme="minorHAnsi" w:hAnsiTheme="minorHAnsi" w:cs="Arial"/>
                <w:lang w:val="en-US"/>
              </w:rPr>
            </w:pPr>
            <w:r w:rsidRPr="00931A48">
              <w:rPr>
                <w:rFonts w:asciiTheme="minorHAnsi" w:hAnsiTheme="minorHAnsi" w:cs="Arial"/>
                <w:lang w:val="en-US"/>
              </w:rPr>
              <w:t>11</w:t>
            </w:r>
            <w:r w:rsidR="002966CB" w:rsidRPr="00931A48">
              <w:rPr>
                <w:rFonts w:asciiTheme="minorHAnsi" w:hAnsiTheme="minorHAnsi" w:cs="Arial"/>
                <w:lang w:val="en-US"/>
              </w:rPr>
              <w:t>.07.2023</w:t>
            </w:r>
          </w:p>
        </w:tc>
        <w:tc>
          <w:tcPr>
            <w:tcW w:w="1276" w:type="dxa"/>
            <w:tcBorders>
              <w:top w:val="outset" w:sz="6" w:space="0" w:color="auto"/>
              <w:left w:val="outset" w:sz="6" w:space="0" w:color="auto"/>
              <w:bottom w:val="outset" w:sz="6" w:space="0" w:color="auto"/>
              <w:right w:val="outset" w:sz="6" w:space="0" w:color="auto"/>
            </w:tcBorders>
          </w:tcPr>
          <w:p w14:paraId="47F406C3" w14:textId="77777777" w:rsidR="002966CB" w:rsidRPr="00931A48" w:rsidRDefault="002966CB" w:rsidP="00B86383">
            <w:pPr>
              <w:rPr>
                <w:rFonts w:asciiTheme="minorHAnsi" w:hAnsiTheme="minorHAnsi" w:cs="Tahoma"/>
                <w:lang w:val="en-US"/>
              </w:rPr>
            </w:pPr>
            <w:r w:rsidRPr="00931A48">
              <w:rPr>
                <w:rFonts w:asciiTheme="minorHAnsi" w:hAnsiTheme="minorHAnsi" w:cs="Tahoma"/>
                <w:lang w:val="en-US"/>
              </w:rPr>
              <w:t>People Strategy &amp; Projects Team</w:t>
            </w:r>
          </w:p>
        </w:tc>
        <w:tc>
          <w:tcPr>
            <w:tcW w:w="1559" w:type="dxa"/>
            <w:tcBorders>
              <w:top w:val="outset" w:sz="6" w:space="0" w:color="auto"/>
              <w:left w:val="outset" w:sz="6" w:space="0" w:color="auto"/>
              <w:bottom w:val="outset" w:sz="6" w:space="0" w:color="auto"/>
              <w:right w:val="outset" w:sz="6" w:space="0" w:color="auto"/>
            </w:tcBorders>
          </w:tcPr>
          <w:p w14:paraId="77B442C6" w14:textId="77777777" w:rsidR="002966CB" w:rsidRPr="00931A48" w:rsidRDefault="002966CB" w:rsidP="00B86383">
            <w:pPr>
              <w:rPr>
                <w:rFonts w:asciiTheme="minorHAnsi" w:hAnsiTheme="minorHAnsi" w:cs="Tahoma"/>
                <w:lang w:val="en-US"/>
              </w:rPr>
            </w:pPr>
            <w:r w:rsidRPr="00931A48">
              <w:rPr>
                <w:rFonts w:asciiTheme="minorHAnsi" w:hAnsiTheme="minorHAnsi" w:cs="Tahoma"/>
                <w:lang w:val="en-US"/>
              </w:rPr>
              <w:t>Agreed</w:t>
            </w:r>
          </w:p>
        </w:tc>
        <w:tc>
          <w:tcPr>
            <w:tcW w:w="3686" w:type="dxa"/>
            <w:tcBorders>
              <w:top w:val="outset" w:sz="6" w:space="0" w:color="auto"/>
              <w:left w:val="outset" w:sz="6" w:space="0" w:color="auto"/>
              <w:bottom w:val="outset" w:sz="6" w:space="0" w:color="auto"/>
              <w:right w:val="outset" w:sz="6" w:space="0" w:color="auto"/>
            </w:tcBorders>
          </w:tcPr>
          <w:p w14:paraId="5972A143" w14:textId="77777777" w:rsidR="002966CB" w:rsidRPr="00931A48" w:rsidRDefault="002966CB" w:rsidP="00B86383">
            <w:pPr>
              <w:rPr>
                <w:rFonts w:asciiTheme="minorHAnsi" w:eastAsia="Calibri" w:hAnsiTheme="minorHAnsi" w:cs="Tahoma"/>
                <w:lang w:val="en-US"/>
              </w:rPr>
            </w:pPr>
            <w:r w:rsidRPr="00931A48">
              <w:rPr>
                <w:rFonts w:asciiTheme="minorHAnsi" w:eastAsia="Calibri" w:hAnsiTheme="minorHAnsi" w:cs="Tahoma"/>
                <w:lang w:val="en-US"/>
              </w:rPr>
              <w:t>Policy updated to reflect revised review date in accordance with planned schedule agreed by CLT</w:t>
            </w:r>
          </w:p>
        </w:tc>
      </w:tr>
      <w:tr w:rsidR="00EE4C5A" w:rsidRPr="00931A48" w14:paraId="64484985" w14:textId="77777777" w:rsidTr="00B86383">
        <w:trPr>
          <w:tblCellSpacing w:w="0" w:type="dxa"/>
        </w:trPr>
        <w:tc>
          <w:tcPr>
            <w:tcW w:w="1290" w:type="dxa"/>
            <w:tcBorders>
              <w:top w:val="outset" w:sz="6" w:space="0" w:color="auto"/>
              <w:left w:val="outset" w:sz="6" w:space="0" w:color="auto"/>
              <w:bottom w:val="outset" w:sz="6" w:space="0" w:color="auto"/>
              <w:right w:val="outset" w:sz="6" w:space="0" w:color="auto"/>
            </w:tcBorders>
          </w:tcPr>
          <w:p w14:paraId="1CB40D6F" w14:textId="0CEFC905" w:rsidR="00EE4C5A" w:rsidRPr="00931A48" w:rsidRDefault="00EE4C5A" w:rsidP="00EE4C5A">
            <w:pPr>
              <w:tabs>
                <w:tab w:val="left" w:pos="780"/>
              </w:tabs>
              <w:rPr>
                <w:rFonts w:asciiTheme="minorHAnsi" w:hAnsiTheme="minorHAnsi" w:cs="Tahoma"/>
                <w:lang w:val="en-US"/>
              </w:rPr>
            </w:pPr>
            <w:r>
              <w:rPr>
                <w:rFonts w:asciiTheme="minorHAnsi" w:hAnsiTheme="minorHAnsi" w:cs="Tahoma"/>
                <w:lang w:val="en-US"/>
              </w:rPr>
              <w:t>1.3</w:t>
            </w:r>
          </w:p>
        </w:tc>
        <w:tc>
          <w:tcPr>
            <w:tcW w:w="1679" w:type="dxa"/>
            <w:tcBorders>
              <w:top w:val="outset" w:sz="6" w:space="0" w:color="auto"/>
              <w:left w:val="outset" w:sz="6" w:space="0" w:color="auto"/>
              <w:bottom w:val="outset" w:sz="6" w:space="0" w:color="auto"/>
              <w:right w:val="outset" w:sz="6" w:space="0" w:color="auto"/>
            </w:tcBorders>
          </w:tcPr>
          <w:p w14:paraId="4274170B" w14:textId="6685FA5D" w:rsidR="00EE4C5A" w:rsidRPr="00931A48" w:rsidRDefault="00EE4C5A" w:rsidP="00EE4C5A">
            <w:pPr>
              <w:autoSpaceDE w:val="0"/>
              <w:autoSpaceDN w:val="0"/>
              <w:adjustRightInd w:val="0"/>
              <w:rPr>
                <w:rFonts w:asciiTheme="minorHAnsi" w:hAnsiTheme="minorHAnsi" w:cs="Arial"/>
                <w:lang w:val="en-US"/>
              </w:rPr>
            </w:pPr>
            <w:r>
              <w:rPr>
                <w:rFonts w:asciiTheme="minorHAnsi" w:hAnsiTheme="minorHAnsi" w:cs="Arial"/>
                <w:lang w:val="en-US"/>
              </w:rPr>
              <w:t>29.04.24</w:t>
            </w:r>
          </w:p>
        </w:tc>
        <w:tc>
          <w:tcPr>
            <w:tcW w:w="1276" w:type="dxa"/>
            <w:tcBorders>
              <w:top w:val="outset" w:sz="6" w:space="0" w:color="auto"/>
              <w:left w:val="outset" w:sz="6" w:space="0" w:color="auto"/>
              <w:bottom w:val="outset" w:sz="6" w:space="0" w:color="auto"/>
              <w:right w:val="outset" w:sz="6" w:space="0" w:color="auto"/>
            </w:tcBorders>
          </w:tcPr>
          <w:p w14:paraId="7AA4D1EA" w14:textId="618EB2DB" w:rsidR="00EE4C5A" w:rsidRPr="00931A48" w:rsidRDefault="00EE4C5A" w:rsidP="00EE4C5A">
            <w:pPr>
              <w:rPr>
                <w:rFonts w:asciiTheme="minorHAnsi" w:hAnsiTheme="minorHAnsi" w:cs="Tahoma"/>
                <w:lang w:val="en-US"/>
              </w:rPr>
            </w:pPr>
            <w:r w:rsidRPr="00931A48">
              <w:rPr>
                <w:rFonts w:asciiTheme="minorHAnsi" w:hAnsiTheme="minorHAnsi" w:cs="Tahoma"/>
                <w:lang w:val="en-US"/>
              </w:rPr>
              <w:t>People Strategy &amp; Projects Team</w:t>
            </w:r>
          </w:p>
        </w:tc>
        <w:tc>
          <w:tcPr>
            <w:tcW w:w="1559" w:type="dxa"/>
            <w:tcBorders>
              <w:top w:val="outset" w:sz="6" w:space="0" w:color="auto"/>
              <w:left w:val="outset" w:sz="6" w:space="0" w:color="auto"/>
              <w:bottom w:val="outset" w:sz="6" w:space="0" w:color="auto"/>
              <w:right w:val="outset" w:sz="6" w:space="0" w:color="auto"/>
            </w:tcBorders>
          </w:tcPr>
          <w:p w14:paraId="201604CE" w14:textId="77777777" w:rsidR="00EE4C5A" w:rsidRPr="00931A48" w:rsidRDefault="00EE4C5A" w:rsidP="00EE4C5A">
            <w:pPr>
              <w:rPr>
                <w:rFonts w:asciiTheme="minorHAnsi" w:hAnsiTheme="minorHAnsi" w:cs="Tahoma"/>
                <w:lang w:val="en-US"/>
              </w:rPr>
            </w:pPr>
          </w:p>
        </w:tc>
        <w:tc>
          <w:tcPr>
            <w:tcW w:w="3686" w:type="dxa"/>
            <w:tcBorders>
              <w:top w:val="outset" w:sz="6" w:space="0" w:color="auto"/>
              <w:left w:val="outset" w:sz="6" w:space="0" w:color="auto"/>
              <w:bottom w:val="outset" w:sz="6" w:space="0" w:color="auto"/>
              <w:right w:val="outset" w:sz="6" w:space="0" w:color="auto"/>
            </w:tcBorders>
          </w:tcPr>
          <w:p w14:paraId="07C323FD" w14:textId="4B43AC61" w:rsidR="00EE4C5A" w:rsidRPr="00931A48" w:rsidRDefault="00EE4C5A" w:rsidP="00EE4C5A">
            <w:pPr>
              <w:rPr>
                <w:rFonts w:asciiTheme="minorHAnsi" w:eastAsia="Calibri" w:hAnsiTheme="minorHAnsi" w:cs="Tahoma"/>
                <w:lang w:val="en-US"/>
              </w:rPr>
            </w:pPr>
            <w:r w:rsidRPr="00EE4C5A">
              <w:rPr>
                <w:rFonts w:ascii="Aptos" w:eastAsia="Calibri" w:hAnsi="Aptos" w:cs="Tahoma"/>
                <w:lang w:val="en-US"/>
              </w:rPr>
              <w:t xml:space="preserve">Policy updated to reflect revised review date in accordance with </w:t>
            </w:r>
            <w:r>
              <w:rPr>
                <w:rFonts w:ascii="Aptos" w:eastAsia="Calibri" w:hAnsi="Aptos" w:cs="Tahoma"/>
                <w:lang w:val="en-US"/>
              </w:rPr>
              <w:t xml:space="preserve">central policy register. </w:t>
            </w:r>
          </w:p>
        </w:tc>
      </w:tr>
      <w:bookmarkEnd w:id="3"/>
    </w:tbl>
    <w:p w14:paraId="5302F46B" w14:textId="77777777" w:rsidR="00974EF8" w:rsidRPr="00931A48" w:rsidRDefault="00974EF8" w:rsidP="00974EF8">
      <w:pPr>
        <w:rPr>
          <w:rFonts w:asciiTheme="minorHAnsi" w:hAnsiTheme="minorHAnsi"/>
          <w:lang w:eastAsia="en-GB"/>
        </w:rPr>
      </w:pPr>
    </w:p>
    <w:p w14:paraId="336780DE" w14:textId="77777777" w:rsidR="00974EF8" w:rsidRPr="00931A48" w:rsidRDefault="00974EF8" w:rsidP="00974EF8">
      <w:pPr>
        <w:rPr>
          <w:rFonts w:asciiTheme="minorHAnsi" w:hAnsiTheme="minorHAnsi"/>
          <w:b/>
        </w:rPr>
      </w:pPr>
      <w:bookmarkStart w:id="4" w:name="_Hlk109902262"/>
      <w:bookmarkStart w:id="5" w:name="_Hlk109909006"/>
      <w:r w:rsidRPr="00931A48">
        <w:rPr>
          <w:rFonts w:asciiTheme="minorHAnsi" w:hAnsiTheme="minorHAnsi"/>
          <w:b/>
        </w:rPr>
        <w:t>Owner</w:t>
      </w:r>
    </w:p>
    <w:p w14:paraId="24C78FE1" w14:textId="77777777" w:rsidR="00974EF8" w:rsidRPr="00931A48" w:rsidRDefault="00974EF8" w:rsidP="00974EF8">
      <w:pPr>
        <w:rPr>
          <w:rFonts w:asciiTheme="minorHAnsi" w:hAnsiTheme="minorHAnsi"/>
        </w:rPr>
      </w:pPr>
      <w:r w:rsidRPr="00931A48">
        <w:rPr>
          <w:rFonts w:asciiTheme="minorHAnsi" w:hAnsiTheme="minorHAnsi" w:cs="Tahoma"/>
          <w:lang w:val="en-US"/>
        </w:rPr>
        <w:t>People Strategy &amp; Projects Team</w:t>
      </w:r>
    </w:p>
    <w:bookmarkEnd w:id="4"/>
    <w:p w14:paraId="16E76C4E" w14:textId="77777777" w:rsidR="00974EF8" w:rsidRPr="00931A48" w:rsidRDefault="00974EF8" w:rsidP="00974EF8">
      <w:pPr>
        <w:rPr>
          <w:rFonts w:asciiTheme="minorHAnsi" w:hAnsiTheme="minorHAnsi"/>
        </w:rPr>
      </w:pPr>
    </w:p>
    <w:p w14:paraId="47329D57" w14:textId="77777777" w:rsidR="00974EF8" w:rsidRPr="00931A48" w:rsidRDefault="00974EF8" w:rsidP="00974EF8">
      <w:pPr>
        <w:rPr>
          <w:rFonts w:asciiTheme="minorHAnsi" w:hAnsiTheme="minorHAnsi"/>
        </w:rPr>
      </w:pPr>
    </w:p>
    <w:bookmarkEnd w:id="5"/>
    <w:p w14:paraId="7BCAE480" w14:textId="77777777" w:rsidR="00974EF8" w:rsidRPr="00FC1B27" w:rsidRDefault="00974EF8" w:rsidP="00974EF8">
      <w:pPr>
        <w:rPr>
          <w:rFonts w:ascii="Aptos" w:hAnsi="Aptos"/>
          <w:sz w:val="22"/>
          <w:szCs w:val="22"/>
        </w:rPr>
      </w:pPr>
    </w:p>
    <w:sectPr w:rsidR="00974EF8" w:rsidRPr="00FC1B27" w:rsidSect="001E1DF2">
      <w:type w:val="continuous"/>
      <w:pgSz w:w="11899" w:h="16838"/>
      <w:pgMar w:top="425" w:right="987" w:bottom="851" w:left="1418" w:header="426" w:footer="27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F26EA" w14:textId="77777777" w:rsidR="00755583" w:rsidRDefault="00755583">
      <w:r>
        <w:separator/>
      </w:r>
    </w:p>
  </w:endnote>
  <w:endnote w:type="continuationSeparator" w:id="0">
    <w:p w14:paraId="23FACDF3" w14:textId="77777777" w:rsidR="00755583" w:rsidRDefault="0075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D083" w14:textId="77777777" w:rsidR="00300ADE" w:rsidRPr="00DF0AA3" w:rsidRDefault="00300ADE" w:rsidP="00DF0AA3">
    <w:pPr>
      <w:pStyle w:val="Footer"/>
      <w:jc w:val="center"/>
      <w:rPr>
        <w:sz w:val="20"/>
        <w:szCs w:val="20"/>
      </w:rPr>
    </w:pPr>
    <w:r w:rsidRPr="00300ADE">
      <w:rPr>
        <w:sz w:val="20"/>
        <w:szCs w:val="20"/>
      </w:rPr>
      <w:t xml:space="preserve">Page </w:t>
    </w:r>
    <w:r w:rsidRPr="00300ADE">
      <w:rPr>
        <w:bCs/>
        <w:sz w:val="20"/>
        <w:szCs w:val="20"/>
      </w:rPr>
      <w:fldChar w:fldCharType="begin"/>
    </w:r>
    <w:r w:rsidRPr="00300ADE">
      <w:rPr>
        <w:bCs/>
        <w:sz w:val="20"/>
        <w:szCs w:val="20"/>
      </w:rPr>
      <w:instrText xml:space="preserve"> PAGE </w:instrText>
    </w:r>
    <w:r w:rsidRPr="00300ADE">
      <w:rPr>
        <w:bCs/>
        <w:sz w:val="20"/>
        <w:szCs w:val="20"/>
      </w:rPr>
      <w:fldChar w:fldCharType="separate"/>
    </w:r>
    <w:r w:rsidR="004F6B51">
      <w:rPr>
        <w:bCs/>
        <w:noProof/>
        <w:sz w:val="20"/>
        <w:szCs w:val="20"/>
      </w:rPr>
      <w:t>4</w:t>
    </w:r>
    <w:r w:rsidRPr="00300ADE">
      <w:rPr>
        <w:bCs/>
        <w:sz w:val="20"/>
        <w:szCs w:val="20"/>
      </w:rPr>
      <w:fldChar w:fldCharType="end"/>
    </w:r>
    <w:r w:rsidRPr="00300ADE">
      <w:rPr>
        <w:sz w:val="20"/>
        <w:szCs w:val="20"/>
      </w:rPr>
      <w:t xml:space="preserve"> of </w:t>
    </w:r>
    <w:r w:rsidRPr="00300ADE">
      <w:rPr>
        <w:bCs/>
        <w:sz w:val="20"/>
        <w:szCs w:val="20"/>
      </w:rPr>
      <w:fldChar w:fldCharType="begin"/>
    </w:r>
    <w:r w:rsidRPr="00300ADE">
      <w:rPr>
        <w:bCs/>
        <w:sz w:val="20"/>
        <w:szCs w:val="20"/>
      </w:rPr>
      <w:instrText xml:space="preserve"> NUMPAGES  </w:instrText>
    </w:r>
    <w:r w:rsidRPr="00300ADE">
      <w:rPr>
        <w:bCs/>
        <w:sz w:val="20"/>
        <w:szCs w:val="20"/>
      </w:rPr>
      <w:fldChar w:fldCharType="separate"/>
    </w:r>
    <w:r w:rsidR="004F6B51">
      <w:rPr>
        <w:bCs/>
        <w:noProof/>
        <w:sz w:val="20"/>
        <w:szCs w:val="20"/>
      </w:rPr>
      <w:t>4</w:t>
    </w:r>
    <w:r w:rsidRPr="00300ADE">
      <w:rPr>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2DEBE" w14:textId="77777777" w:rsidR="001E1DF2" w:rsidRDefault="001E1DF2" w:rsidP="00DF0AA3">
    <w:pPr>
      <w:pStyle w:val="Footer"/>
      <w:jc w:val="center"/>
    </w:pPr>
    <w:r w:rsidRPr="001E1DF2">
      <w:rPr>
        <w:sz w:val="20"/>
        <w:szCs w:val="20"/>
      </w:rPr>
      <w:t xml:space="preserve">Page </w:t>
    </w:r>
    <w:r w:rsidRPr="001E1DF2">
      <w:rPr>
        <w:bCs/>
        <w:sz w:val="20"/>
        <w:szCs w:val="20"/>
      </w:rPr>
      <w:fldChar w:fldCharType="begin"/>
    </w:r>
    <w:r w:rsidRPr="001E1DF2">
      <w:rPr>
        <w:bCs/>
        <w:sz w:val="20"/>
        <w:szCs w:val="20"/>
      </w:rPr>
      <w:instrText xml:space="preserve"> PAGE </w:instrText>
    </w:r>
    <w:r w:rsidRPr="001E1DF2">
      <w:rPr>
        <w:bCs/>
        <w:sz w:val="20"/>
        <w:szCs w:val="20"/>
      </w:rPr>
      <w:fldChar w:fldCharType="separate"/>
    </w:r>
    <w:r w:rsidR="004F6B51">
      <w:rPr>
        <w:bCs/>
        <w:noProof/>
        <w:sz w:val="20"/>
        <w:szCs w:val="20"/>
      </w:rPr>
      <w:t>1</w:t>
    </w:r>
    <w:r w:rsidRPr="001E1DF2">
      <w:rPr>
        <w:bCs/>
        <w:sz w:val="20"/>
        <w:szCs w:val="20"/>
      </w:rPr>
      <w:fldChar w:fldCharType="end"/>
    </w:r>
    <w:r w:rsidRPr="001E1DF2">
      <w:rPr>
        <w:sz w:val="20"/>
        <w:szCs w:val="20"/>
      </w:rPr>
      <w:t xml:space="preserve"> of </w:t>
    </w:r>
    <w:r w:rsidRPr="001E1DF2">
      <w:rPr>
        <w:bCs/>
        <w:sz w:val="20"/>
        <w:szCs w:val="20"/>
      </w:rPr>
      <w:fldChar w:fldCharType="begin"/>
    </w:r>
    <w:r w:rsidRPr="001E1DF2">
      <w:rPr>
        <w:bCs/>
        <w:sz w:val="20"/>
        <w:szCs w:val="20"/>
      </w:rPr>
      <w:instrText xml:space="preserve"> NUMPAGES  </w:instrText>
    </w:r>
    <w:r w:rsidRPr="001E1DF2">
      <w:rPr>
        <w:bCs/>
        <w:sz w:val="20"/>
        <w:szCs w:val="20"/>
      </w:rPr>
      <w:fldChar w:fldCharType="separate"/>
    </w:r>
    <w:r w:rsidR="004F6B51">
      <w:rPr>
        <w:bCs/>
        <w:noProof/>
        <w:sz w:val="20"/>
        <w:szCs w:val="20"/>
      </w:rPr>
      <w:t>4</w:t>
    </w:r>
    <w:r w:rsidRPr="001E1DF2">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9B456" w14:textId="77777777" w:rsidR="00755583" w:rsidRDefault="00755583">
      <w:r>
        <w:separator/>
      </w:r>
    </w:p>
  </w:footnote>
  <w:footnote w:type="continuationSeparator" w:id="0">
    <w:p w14:paraId="2B00DE76" w14:textId="77777777" w:rsidR="00755583" w:rsidRDefault="00755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2A33" w14:textId="77777777" w:rsidR="00300ADE" w:rsidRPr="00DF0AA3" w:rsidRDefault="00DF0AA3" w:rsidP="00DF0AA3">
    <w:pPr>
      <w:pStyle w:val="Footer"/>
      <w:tabs>
        <w:tab w:val="clear" w:pos="8640"/>
        <w:tab w:val="right" w:pos="9498"/>
      </w:tabs>
      <w:rPr>
        <w:sz w:val="20"/>
        <w:szCs w:val="20"/>
      </w:rPr>
    </w:pPr>
    <w:r>
      <w:rPr>
        <w:sz w:val="20"/>
        <w:szCs w:val="20"/>
      </w:rPr>
      <w:tab/>
    </w:r>
    <w:r>
      <w:rPr>
        <w:sz w:val="20"/>
        <w:szCs w:val="20"/>
      </w:rPr>
      <w:tab/>
    </w:r>
  </w:p>
  <w:p w14:paraId="1AD1A88B" w14:textId="77777777" w:rsidR="00300ADE" w:rsidRDefault="00300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7373" w14:textId="77777777" w:rsidR="00DF0AA3" w:rsidRPr="00DF0AA3" w:rsidRDefault="00DF0AA3" w:rsidP="00DF0AA3">
    <w:pPr>
      <w:pStyle w:val="Footer"/>
      <w:tabs>
        <w:tab w:val="clear" w:pos="8640"/>
        <w:tab w:val="right" w:pos="9498"/>
      </w:tabs>
      <w:rPr>
        <w:sz w:val="20"/>
        <w:szCs w:val="20"/>
      </w:rPr>
    </w:pPr>
    <w:r>
      <w:rPr>
        <w:sz w:val="20"/>
        <w:szCs w:val="20"/>
      </w:rPr>
      <w:tab/>
    </w:r>
    <w:r>
      <w:rPr>
        <w:sz w:val="20"/>
        <w:szCs w:val="20"/>
      </w:rPr>
      <w:tab/>
    </w:r>
  </w:p>
  <w:p w14:paraId="173DCD09" w14:textId="77777777" w:rsidR="00300ADE" w:rsidRDefault="00300ADE">
    <w:pPr>
      <w:pStyle w:val="Header"/>
    </w:pPr>
  </w:p>
  <w:p w14:paraId="38EF85F9" w14:textId="77777777" w:rsidR="00300ADE" w:rsidRDefault="00300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5D2"/>
    <w:multiLevelType w:val="hybridMultilevel"/>
    <w:tmpl w:val="A9C8EBB2"/>
    <w:lvl w:ilvl="0" w:tplc="9EF4A69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1048B0"/>
    <w:multiLevelType w:val="hybridMultilevel"/>
    <w:tmpl w:val="87A65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6215B"/>
    <w:multiLevelType w:val="hybridMultilevel"/>
    <w:tmpl w:val="EA52CACE"/>
    <w:lvl w:ilvl="0" w:tplc="E1A88972">
      <w:start w:val="3"/>
      <w:numFmt w:val="decimal"/>
      <w:lvlText w:val="%1."/>
      <w:lvlJc w:val="left"/>
      <w:pPr>
        <w:tabs>
          <w:tab w:val="num" w:pos="720"/>
        </w:tabs>
        <w:ind w:left="720" w:hanging="360"/>
      </w:pPr>
      <w:rPr>
        <w:rFonts w:hint="default"/>
      </w:rPr>
    </w:lvl>
    <w:lvl w:ilvl="1" w:tplc="6890D2EA">
      <w:numFmt w:val="none"/>
      <w:lvlText w:val=""/>
      <w:lvlJc w:val="left"/>
      <w:pPr>
        <w:tabs>
          <w:tab w:val="num" w:pos="360"/>
        </w:tabs>
      </w:pPr>
    </w:lvl>
    <w:lvl w:ilvl="2" w:tplc="131C9BAE">
      <w:numFmt w:val="none"/>
      <w:lvlText w:val=""/>
      <w:lvlJc w:val="left"/>
      <w:pPr>
        <w:tabs>
          <w:tab w:val="num" w:pos="360"/>
        </w:tabs>
      </w:pPr>
    </w:lvl>
    <w:lvl w:ilvl="3" w:tplc="11AC51C0">
      <w:numFmt w:val="none"/>
      <w:lvlText w:val=""/>
      <w:lvlJc w:val="left"/>
      <w:pPr>
        <w:tabs>
          <w:tab w:val="num" w:pos="360"/>
        </w:tabs>
      </w:pPr>
    </w:lvl>
    <w:lvl w:ilvl="4" w:tplc="BD1677E2">
      <w:numFmt w:val="none"/>
      <w:lvlText w:val=""/>
      <w:lvlJc w:val="left"/>
      <w:pPr>
        <w:tabs>
          <w:tab w:val="num" w:pos="360"/>
        </w:tabs>
      </w:pPr>
    </w:lvl>
    <w:lvl w:ilvl="5" w:tplc="986046A4">
      <w:numFmt w:val="none"/>
      <w:lvlText w:val=""/>
      <w:lvlJc w:val="left"/>
      <w:pPr>
        <w:tabs>
          <w:tab w:val="num" w:pos="360"/>
        </w:tabs>
      </w:pPr>
    </w:lvl>
    <w:lvl w:ilvl="6" w:tplc="7492938E">
      <w:numFmt w:val="none"/>
      <w:lvlText w:val=""/>
      <w:lvlJc w:val="left"/>
      <w:pPr>
        <w:tabs>
          <w:tab w:val="num" w:pos="360"/>
        </w:tabs>
      </w:pPr>
    </w:lvl>
    <w:lvl w:ilvl="7" w:tplc="552E3E6C">
      <w:numFmt w:val="none"/>
      <w:lvlText w:val=""/>
      <w:lvlJc w:val="left"/>
      <w:pPr>
        <w:tabs>
          <w:tab w:val="num" w:pos="360"/>
        </w:tabs>
      </w:pPr>
    </w:lvl>
    <w:lvl w:ilvl="8" w:tplc="124C4C02">
      <w:numFmt w:val="none"/>
      <w:lvlText w:val=""/>
      <w:lvlJc w:val="left"/>
      <w:pPr>
        <w:tabs>
          <w:tab w:val="num" w:pos="360"/>
        </w:tabs>
      </w:pPr>
    </w:lvl>
  </w:abstractNum>
  <w:abstractNum w:abstractNumId="3" w15:restartNumberingAfterBreak="0">
    <w:nsid w:val="1B443AA3"/>
    <w:multiLevelType w:val="hybridMultilevel"/>
    <w:tmpl w:val="45FE9F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C245576"/>
    <w:multiLevelType w:val="hybridMultilevel"/>
    <w:tmpl w:val="AE220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A240B0"/>
    <w:multiLevelType w:val="hybridMultilevel"/>
    <w:tmpl w:val="9D4C1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432A3F"/>
    <w:multiLevelType w:val="hybridMultilevel"/>
    <w:tmpl w:val="70DE6A8C"/>
    <w:lvl w:ilvl="0" w:tplc="698A3E78">
      <w:numFmt w:val="bullet"/>
      <w:lvlText w:val="-"/>
      <w:lvlJc w:val="left"/>
      <w:pPr>
        <w:tabs>
          <w:tab w:val="num" w:pos="1080"/>
        </w:tabs>
        <w:ind w:left="1080" w:hanging="360"/>
      </w:pPr>
      <w:rPr>
        <w:rFonts w:ascii="Arial" w:eastAsia="Times New Roman" w:hAnsi="Arial" w:cs="Aria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0FB1AEC"/>
    <w:multiLevelType w:val="hybridMultilevel"/>
    <w:tmpl w:val="0AEA1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0C29D7"/>
    <w:multiLevelType w:val="hybridMultilevel"/>
    <w:tmpl w:val="090691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A5E2A99"/>
    <w:multiLevelType w:val="hybridMultilevel"/>
    <w:tmpl w:val="853010F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3621EE"/>
    <w:multiLevelType w:val="hybridMultilevel"/>
    <w:tmpl w:val="D4287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4BF7DDD"/>
    <w:multiLevelType w:val="hybridMultilevel"/>
    <w:tmpl w:val="D024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4D1792"/>
    <w:multiLevelType w:val="hybridMultilevel"/>
    <w:tmpl w:val="CCC42A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C99281A"/>
    <w:multiLevelType w:val="multilevel"/>
    <w:tmpl w:val="B7721E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F0E6EBD"/>
    <w:multiLevelType w:val="hybridMultilevel"/>
    <w:tmpl w:val="4546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D66B68"/>
    <w:multiLevelType w:val="hybridMultilevel"/>
    <w:tmpl w:val="71ECC6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82204045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301421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54388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434619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069930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364670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9786102">
    <w:abstractNumId w:val="5"/>
  </w:num>
  <w:num w:numId="8" w16cid:durableId="593125298">
    <w:abstractNumId w:val="0"/>
  </w:num>
  <w:num w:numId="9" w16cid:durableId="2006322915">
    <w:abstractNumId w:val="11"/>
  </w:num>
  <w:num w:numId="10" w16cid:durableId="1251617300">
    <w:abstractNumId w:val="14"/>
  </w:num>
  <w:num w:numId="11" w16cid:durableId="1910192385">
    <w:abstractNumId w:val="1"/>
  </w:num>
  <w:num w:numId="12" w16cid:durableId="722405998">
    <w:abstractNumId w:val="7"/>
  </w:num>
  <w:num w:numId="13" w16cid:durableId="1028722923">
    <w:abstractNumId w:val="4"/>
  </w:num>
  <w:num w:numId="14" w16cid:durableId="1189830049">
    <w:abstractNumId w:val="2"/>
  </w:num>
  <w:num w:numId="15" w16cid:durableId="928538700">
    <w:abstractNumId w:val="9"/>
  </w:num>
  <w:num w:numId="16" w16cid:durableId="104979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BD4"/>
    <w:rsid w:val="00016307"/>
    <w:rsid w:val="00086926"/>
    <w:rsid w:val="001E1DF2"/>
    <w:rsid w:val="001E3C73"/>
    <w:rsid w:val="001E6647"/>
    <w:rsid w:val="00207DCD"/>
    <w:rsid w:val="002329D4"/>
    <w:rsid w:val="00262682"/>
    <w:rsid w:val="002762B9"/>
    <w:rsid w:val="00286002"/>
    <w:rsid w:val="002966CB"/>
    <w:rsid w:val="002B12F6"/>
    <w:rsid w:val="00300ADE"/>
    <w:rsid w:val="00311943"/>
    <w:rsid w:val="00332DF1"/>
    <w:rsid w:val="00335E5D"/>
    <w:rsid w:val="00363286"/>
    <w:rsid w:val="00383B7E"/>
    <w:rsid w:val="003C51A6"/>
    <w:rsid w:val="003F0B0E"/>
    <w:rsid w:val="003F1653"/>
    <w:rsid w:val="004F6B51"/>
    <w:rsid w:val="00520A3A"/>
    <w:rsid w:val="005C688A"/>
    <w:rsid w:val="005D4FCD"/>
    <w:rsid w:val="00605118"/>
    <w:rsid w:val="0061407F"/>
    <w:rsid w:val="006874F6"/>
    <w:rsid w:val="006A0BDF"/>
    <w:rsid w:val="006A4DF6"/>
    <w:rsid w:val="006C7ECA"/>
    <w:rsid w:val="00730511"/>
    <w:rsid w:val="00755583"/>
    <w:rsid w:val="00766693"/>
    <w:rsid w:val="0076690D"/>
    <w:rsid w:val="008024BF"/>
    <w:rsid w:val="0081020E"/>
    <w:rsid w:val="00812FA8"/>
    <w:rsid w:val="00931A48"/>
    <w:rsid w:val="00945707"/>
    <w:rsid w:val="00974EF8"/>
    <w:rsid w:val="009B3AD8"/>
    <w:rsid w:val="009B4C1E"/>
    <w:rsid w:val="00AC5A6D"/>
    <w:rsid w:val="00AD1375"/>
    <w:rsid w:val="00B51CFB"/>
    <w:rsid w:val="00B86383"/>
    <w:rsid w:val="00BF474F"/>
    <w:rsid w:val="00C002FD"/>
    <w:rsid w:val="00C1635A"/>
    <w:rsid w:val="00C17887"/>
    <w:rsid w:val="00C54617"/>
    <w:rsid w:val="00CC7DBA"/>
    <w:rsid w:val="00D03532"/>
    <w:rsid w:val="00D22934"/>
    <w:rsid w:val="00D771D8"/>
    <w:rsid w:val="00D802B0"/>
    <w:rsid w:val="00D90426"/>
    <w:rsid w:val="00DD5C62"/>
    <w:rsid w:val="00DF0AA3"/>
    <w:rsid w:val="00DF2B47"/>
    <w:rsid w:val="00DF3409"/>
    <w:rsid w:val="00E002A6"/>
    <w:rsid w:val="00E0137B"/>
    <w:rsid w:val="00EA7C19"/>
    <w:rsid w:val="00EE4C5A"/>
    <w:rsid w:val="00F6535B"/>
    <w:rsid w:val="00FB3BCF"/>
    <w:rsid w:val="00FC1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14:docId w14:val="3F04BB04"/>
  <w15:chartTrackingRefBased/>
  <w15:docId w15:val="{CCEB9B3F-29F1-480F-A921-9DA28CAC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arnardo's"/>
    <w:qFormat/>
    <w:rsid w:val="00BE6E4E"/>
    <w:rPr>
      <w:rFonts w:ascii="Verdana" w:hAnsi="Verdana"/>
      <w:sz w:val="24"/>
      <w:szCs w:val="24"/>
      <w:lang w:eastAsia="en-US"/>
    </w:rPr>
  </w:style>
  <w:style w:type="paragraph" w:styleId="Heading1">
    <w:name w:val="heading 1"/>
    <w:basedOn w:val="Normal"/>
    <w:next w:val="Normal"/>
    <w:link w:val="Heading1Char"/>
    <w:qFormat/>
    <w:rsid w:val="00C1635A"/>
    <w:pPr>
      <w:keepNext/>
      <w:spacing w:before="240" w:after="60"/>
      <w:outlineLvl w:val="0"/>
    </w:pPr>
    <w:rPr>
      <w:bCs/>
      <w:kern w:val="32"/>
      <w:sz w:val="5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30993"/>
    <w:pPr>
      <w:tabs>
        <w:tab w:val="center" w:pos="4320"/>
        <w:tab w:val="right" w:pos="8640"/>
      </w:tabs>
    </w:pPr>
  </w:style>
  <w:style w:type="paragraph" w:styleId="Footer">
    <w:name w:val="footer"/>
    <w:basedOn w:val="Normal"/>
    <w:link w:val="FooterChar"/>
    <w:uiPriority w:val="99"/>
    <w:rsid w:val="00930993"/>
    <w:pPr>
      <w:tabs>
        <w:tab w:val="center" w:pos="4320"/>
        <w:tab w:val="right" w:pos="8640"/>
      </w:tabs>
    </w:pPr>
  </w:style>
  <w:style w:type="character" w:styleId="Hyperlink">
    <w:name w:val="Hyperlink"/>
    <w:rsid w:val="009A7F76"/>
    <w:rPr>
      <w:color w:val="0000FF"/>
      <w:u w:val="single"/>
    </w:rPr>
  </w:style>
  <w:style w:type="character" w:styleId="FollowedHyperlink">
    <w:name w:val="FollowedHyperlink"/>
    <w:rsid w:val="00595446"/>
    <w:rPr>
      <w:color w:val="800080"/>
      <w:u w:val="single"/>
    </w:rPr>
  </w:style>
  <w:style w:type="character" w:customStyle="1" w:styleId="FooterChar">
    <w:name w:val="Footer Char"/>
    <w:link w:val="Footer"/>
    <w:uiPriority w:val="99"/>
    <w:rsid w:val="00BE6E4E"/>
    <w:rPr>
      <w:sz w:val="24"/>
      <w:szCs w:val="24"/>
      <w:lang w:val="en-GB"/>
    </w:rPr>
  </w:style>
  <w:style w:type="paragraph" w:styleId="NormalWeb">
    <w:name w:val="Normal (Web)"/>
    <w:basedOn w:val="Normal"/>
    <w:rsid w:val="00207DCD"/>
    <w:pPr>
      <w:spacing w:before="100" w:beforeAutospacing="1" w:after="100" w:afterAutospacing="1"/>
    </w:pPr>
    <w:rPr>
      <w:rFonts w:ascii="Times New Roman" w:hAnsi="Times New Roman"/>
      <w:color w:val="000000"/>
      <w:lang w:val="en-US"/>
    </w:rPr>
  </w:style>
  <w:style w:type="paragraph" w:styleId="PlainText">
    <w:name w:val="Plain Text"/>
    <w:basedOn w:val="Normal"/>
    <w:rsid w:val="00207DCD"/>
    <w:rPr>
      <w:rFonts w:ascii="Arial" w:hAnsi="Arial" w:cs="Arial"/>
      <w:sz w:val="20"/>
      <w:szCs w:val="20"/>
      <w:lang w:val="en-US"/>
    </w:rPr>
  </w:style>
  <w:style w:type="table" w:styleId="TableGrid">
    <w:name w:val="Table Grid"/>
    <w:basedOn w:val="TableNormal"/>
    <w:rsid w:val="00810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C688A"/>
    <w:rPr>
      <w:rFonts w:ascii="Tahoma" w:hAnsi="Tahoma" w:cs="Tahoma"/>
      <w:sz w:val="16"/>
      <w:szCs w:val="16"/>
    </w:rPr>
  </w:style>
  <w:style w:type="character" w:customStyle="1" w:styleId="BalloonTextChar">
    <w:name w:val="Balloon Text Char"/>
    <w:link w:val="BalloonText"/>
    <w:rsid w:val="005C688A"/>
    <w:rPr>
      <w:rFonts w:ascii="Tahoma" w:hAnsi="Tahoma" w:cs="Tahoma"/>
      <w:sz w:val="16"/>
      <w:szCs w:val="16"/>
      <w:lang w:eastAsia="en-US"/>
    </w:rPr>
  </w:style>
  <w:style w:type="paragraph" w:customStyle="1" w:styleId="Default">
    <w:name w:val="Default"/>
    <w:basedOn w:val="Normal"/>
    <w:rsid w:val="002B12F6"/>
    <w:pPr>
      <w:autoSpaceDE w:val="0"/>
      <w:autoSpaceDN w:val="0"/>
    </w:pPr>
    <w:rPr>
      <w:rFonts w:ascii="Arial" w:eastAsia="Calibri" w:hAnsi="Arial" w:cs="Arial"/>
      <w:color w:val="000000"/>
    </w:rPr>
  </w:style>
  <w:style w:type="character" w:customStyle="1" w:styleId="Heading1Char">
    <w:name w:val="Heading 1 Char"/>
    <w:link w:val="Heading1"/>
    <w:rsid w:val="00C1635A"/>
    <w:rPr>
      <w:rFonts w:ascii="Verdana" w:eastAsia="Times New Roman" w:hAnsi="Verdana" w:cs="Times New Roman"/>
      <w:bCs/>
      <w:kern w:val="32"/>
      <w:sz w:val="52"/>
      <w:szCs w:val="32"/>
      <w:lang w:eastAsia="en-US"/>
    </w:rPr>
  </w:style>
  <w:style w:type="character" w:styleId="Emphasis">
    <w:name w:val="Emphasis"/>
    <w:aliases w:val="2nd heading"/>
    <w:qFormat/>
    <w:rsid w:val="00C1635A"/>
    <w:rPr>
      <w:rFonts w:ascii="Verdana" w:hAnsi="Verdana"/>
      <w:b/>
      <w:i w:val="0"/>
      <w:iCs/>
      <w:sz w:val="24"/>
    </w:rPr>
  </w:style>
  <w:style w:type="character" w:styleId="Strong">
    <w:name w:val="Strong"/>
    <w:aliases w:val="heading 3"/>
    <w:qFormat/>
    <w:rsid w:val="00D771D8"/>
    <w:rPr>
      <w:rFonts w:ascii="Verdana" w:hAnsi="Verdana"/>
      <w:b/>
      <w:bCs/>
      <w:sz w:val="22"/>
    </w:rPr>
  </w:style>
  <w:style w:type="paragraph" w:styleId="Title">
    <w:name w:val="Title"/>
    <w:basedOn w:val="Normal"/>
    <w:next w:val="Normal"/>
    <w:link w:val="TitleChar"/>
    <w:qFormat/>
    <w:rsid w:val="004F6B51"/>
    <w:pPr>
      <w:spacing w:before="240" w:after="60"/>
      <w:jc w:val="center"/>
      <w:outlineLvl w:val="0"/>
    </w:pPr>
    <w:rPr>
      <w:b/>
      <w:bCs/>
      <w:kern w:val="28"/>
      <w:sz w:val="52"/>
      <w:szCs w:val="32"/>
    </w:rPr>
  </w:style>
  <w:style w:type="character" w:customStyle="1" w:styleId="TitleChar">
    <w:name w:val="Title Char"/>
    <w:link w:val="Title"/>
    <w:rsid w:val="004F6B51"/>
    <w:rPr>
      <w:rFonts w:ascii="Verdana" w:eastAsia="Times New Roman" w:hAnsi="Verdana" w:cs="Times New Roman"/>
      <w:b/>
      <w:bCs/>
      <w:kern w:val="28"/>
      <w:sz w:val="5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75060">
      <w:bodyDiv w:val="1"/>
      <w:marLeft w:val="0"/>
      <w:marRight w:val="0"/>
      <w:marTop w:val="0"/>
      <w:marBottom w:val="0"/>
      <w:divBdr>
        <w:top w:val="none" w:sz="0" w:space="0" w:color="auto"/>
        <w:left w:val="none" w:sz="0" w:space="0" w:color="auto"/>
        <w:bottom w:val="none" w:sz="0" w:space="0" w:color="auto"/>
        <w:right w:val="none" w:sz="0" w:space="0" w:color="auto"/>
      </w:divBdr>
    </w:div>
    <w:div w:id="42306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BDE5EF23F3FE40907979F4278AF3FB" ma:contentTypeVersion="10" ma:contentTypeDescription="Create a new document." ma:contentTypeScope="" ma:versionID="e204bdf9b550f9cf1cc283e49d2e575b">
  <xsd:schema xmlns:xsd="http://www.w3.org/2001/XMLSchema" xmlns:xs="http://www.w3.org/2001/XMLSchema" xmlns:p="http://schemas.microsoft.com/office/2006/metadata/properties" xmlns:ns2="18d838f3-f045-4958-9fea-c801cc9fc93d" xmlns:ns3="a0dc92a2-69d1-4267-bb46-dd5fb22941d0" targetNamespace="http://schemas.microsoft.com/office/2006/metadata/properties" ma:root="true" ma:fieldsID="a598b92e42b5806d0ba9f4c29bbf6fe4" ns2:_="" ns3:_="">
    <xsd:import namespace="18d838f3-f045-4958-9fea-c801cc9fc93d"/>
    <xsd:import namespace="a0dc92a2-69d1-4267-bb46-dd5fb2294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838f3-f045-4958-9fea-c801cc9fc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dc92a2-69d1-4267-bb46-dd5fb22941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750BAB-40BE-478A-9C6B-54474117D2F5}">
  <ds:schemaRefs>
    <ds:schemaRef ds:uri="http://schemas.openxmlformats.org/officeDocument/2006/bibliography"/>
  </ds:schemaRefs>
</ds:datastoreItem>
</file>

<file path=customXml/itemProps2.xml><?xml version="1.0" encoding="utf-8"?>
<ds:datastoreItem xmlns:ds="http://schemas.openxmlformats.org/officeDocument/2006/customXml" ds:itemID="{590436C5-58AE-4006-B82F-C0834C82D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838f3-f045-4958-9fea-c801cc9fc93d"/>
    <ds:schemaRef ds:uri="a0dc92a2-69d1-4267-bb46-dd5fb2294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A074F3-2FF6-4858-94A3-FE321859BF42}">
  <ds:schemaRefs>
    <ds:schemaRef ds:uri="http://schemas.microsoft.com/sharepoint/v3/contenttype/forms"/>
  </ds:schemaRefs>
</ds:datastoreItem>
</file>

<file path=customXml/itemProps4.xml><?xml version="1.0" encoding="utf-8"?>
<ds:datastoreItem xmlns:ds="http://schemas.openxmlformats.org/officeDocument/2006/customXml" ds:itemID="{1B99C15F-27BD-4689-8159-C45B1D59D331}">
  <ds:schemaRefs>
    <ds:schemaRef ds:uri="http://www.w3.org/XML/1998/namespace"/>
    <ds:schemaRef ds:uri="http://schemas.microsoft.com/office/2006/documentManagement/types"/>
    <ds:schemaRef ds:uri="a0dc92a2-69d1-4267-bb46-dd5fb22941d0"/>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18d838f3-f045-4958-9fea-c801cc9fc93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Insert your title here and try to make this run into the logo</vt:lpstr>
    </vt:vector>
  </TitlesOfParts>
  <Company>Barnardos</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 and try to make this run into the logo</dc:title>
  <dc:subject/>
  <dc:creator>HotMac</dc:creator>
  <cp:keywords/>
  <cp:lastModifiedBy>Caroline Nuttall</cp:lastModifiedBy>
  <cp:revision>2</cp:revision>
  <cp:lastPrinted>2014-02-12T10:18:00Z</cp:lastPrinted>
  <dcterms:created xsi:type="dcterms:W3CDTF">2024-04-29T14:01:00Z</dcterms:created>
  <dcterms:modified xsi:type="dcterms:W3CDTF">2024-04-29T14:01:00Z</dcterms:modified>
</cp:coreProperties>
</file>